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黑体" w:hAnsi="黑体" w:eastAsia="黑体"/>
          <w:bCs/>
          <w:color w:val="000000"/>
          <w:kern w:val="0"/>
          <w:sz w:val="32"/>
          <w:szCs w:val="32"/>
        </w:rPr>
      </w:pPr>
      <w:r>
        <w:rPr>
          <w:rFonts w:hint="eastAsia" w:ascii="黑体" w:hAnsi="黑体" w:eastAsia="黑体"/>
          <w:bCs/>
          <w:color w:val="000000"/>
          <w:kern w:val="0"/>
          <w:sz w:val="32"/>
          <w:szCs w:val="32"/>
        </w:rPr>
        <w:t>附件1</w:t>
      </w:r>
    </w:p>
    <w:p>
      <w:pPr>
        <w:tabs>
          <w:tab w:val="left" w:pos="4500"/>
        </w:tabs>
        <w:autoSpaceDE w:val="0"/>
        <w:autoSpaceDN w:val="0"/>
        <w:spacing w:before="156" w:beforeLines="50" w:line="520" w:lineRule="exact"/>
        <w:jc w:val="center"/>
        <w:rPr>
          <w:rFonts w:hint="eastAsia" w:ascii="彩虹小标宋" w:eastAsia="彩虹小标宋"/>
          <w:color w:val="000000"/>
          <w:sz w:val="36"/>
          <w:szCs w:val="36"/>
        </w:rPr>
      </w:pPr>
      <w:bookmarkStart w:id="0" w:name="_GoBack"/>
      <w:r>
        <w:rPr>
          <w:rFonts w:hint="eastAsia" w:ascii="彩虹小标宋" w:eastAsia="彩虹小标宋"/>
          <w:color w:val="000000"/>
          <w:sz w:val="36"/>
          <w:szCs w:val="36"/>
        </w:rPr>
        <w:t>技术先进型服务业务认定范围（试行）</w:t>
      </w:r>
    </w:p>
    <w:bookmarkEnd w:id="0"/>
    <w:p>
      <w:pPr>
        <w:tabs>
          <w:tab w:val="left" w:pos="4500"/>
        </w:tabs>
        <w:autoSpaceDN w:val="0"/>
        <w:spacing w:before="100" w:beforeAutospacing="1"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一、信息技术外包服务（</w:t>
      </w:r>
      <w:r>
        <w:rPr>
          <w:rFonts w:ascii="黑体" w:hAnsi="黑体" w:eastAsia="黑体"/>
          <w:color w:val="000000"/>
          <w:sz w:val="32"/>
          <w:szCs w:val="32"/>
        </w:rPr>
        <w:t>ITO</w:t>
      </w:r>
      <w:r>
        <w:rPr>
          <w:rFonts w:hint="eastAsia" w:ascii="黑体" w:hAnsi="黑体" w:eastAsia="黑体"/>
          <w:color w:val="000000"/>
          <w:sz w:val="32"/>
          <w:szCs w:val="32"/>
        </w:rPr>
        <w:t>）</w:t>
      </w:r>
    </w:p>
    <w:p>
      <w:pPr>
        <w:tabs>
          <w:tab w:val="left" w:pos="4500"/>
        </w:tabs>
        <w:autoSpaceDN w:val="0"/>
        <w:spacing w:line="520" w:lineRule="exact"/>
        <w:ind w:firstLine="640" w:firstLineChars="200"/>
        <w:rPr>
          <w:rFonts w:hint="eastAsia" w:ascii="楷体_GB2312" w:hAnsi="华文仿宋" w:eastAsia="楷体_GB2312"/>
          <w:color w:val="000000"/>
          <w:sz w:val="32"/>
          <w:szCs w:val="32"/>
        </w:rPr>
      </w:pPr>
      <w:r>
        <w:rPr>
          <w:rFonts w:hint="eastAsia" w:ascii="楷体_GB2312" w:hAnsi="华文仿宋" w:eastAsia="楷体_GB2312"/>
          <w:color w:val="000000"/>
          <w:sz w:val="32"/>
          <w:szCs w:val="32"/>
        </w:rPr>
        <w:t>（一）软件研发及外包</w:t>
      </w:r>
    </w:p>
    <w:tbl>
      <w:tblPr>
        <w:tblStyle w:val="5"/>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852" w:type="dxa"/>
            <w:noWrap w:val="0"/>
            <w:tcMar>
              <w:top w:w="113" w:type="dxa"/>
              <w:bottom w:w="113" w:type="dxa"/>
            </w:tcMar>
            <w:vAlign w:val="center"/>
          </w:tcPr>
          <w:p>
            <w:pPr>
              <w:tabs>
                <w:tab w:val="left" w:pos="4500"/>
              </w:tabs>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类　别</w:t>
            </w:r>
          </w:p>
        </w:tc>
        <w:tc>
          <w:tcPr>
            <w:tcW w:w="7278" w:type="dxa"/>
            <w:noWrap w:val="0"/>
            <w:tcMar>
              <w:top w:w="113" w:type="dxa"/>
              <w:bottom w:w="113" w:type="dxa"/>
            </w:tcMar>
            <w:vAlign w:val="center"/>
          </w:tcPr>
          <w:p>
            <w:pPr>
              <w:tabs>
                <w:tab w:val="left" w:pos="4500"/>
              </w:tabs>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1852" w:type="dxa"/>
            <w:noWrap w:val="0"/>
            <w:tcMar>
              <w:top w:w="113" w:type="dxa"/>
              <w:bottom w:w="113" w:type="dxa"/>
            </w:tcMar>
            <w:vAlign w:val="center"/>
          </w:tcPr>
          <w:p>
            <w:pPr>
              <w:tabs>
                <w:tab w:val="left" w:pos="4500"/>
              </w:tabs>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软件研发及开发服务</w:t>
            </w:r>
          </w:p>
        </w:tc>
        <w:tc>
          <w:tcPr>
            <w:tcW w:w="7278"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noWrap w:val="0"/>
            <w:tcMar>
              <w:top w:w="113" w:type="dxa"/>
              <w:bottom w:w="113" w:type="dxa"/>
            </w:tcMar>
            <w:vAlign w:val="center"/>
          </w:tcPr>
          <w:p>
            <w:pPr>
              <w:tabs>
                <w:tab w:val="left" w:pos="4500"/>
              </w:tabs>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软件技术服务</w:t>
            </w:r>
          </w:p>
        </w:tc>
        <w:tc>
          <w:tcPr>
            <w:tcW w:w="7278"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软件咨询、维护、培训、测试等技术性服务。</w:t>
            </w:r>
          </w:p>
        </w:tc>
      </w:tr>
    </w:tbl>
    <w:p>
      <w:pPr>
        <w:tabs>
          <w:tab w:val="left" w:pos="4500"/>
        </w:tabs>
        <w:autoSpaceDN w:val="0"/>
        <w:spacing w:before="156" w:beforeLines="50" w:after="156" w:afterLines="50" w:line="520" w:lineRule="exact"/>
        <w:ind w:firstLine="640" w:firstLineChars="200"/>
        <w:rPr>
          <w:rFonts w:hint="eastAsia" w:ascii="楷体_GB2312" w:hAnsi="华文仿宋" w:eastAsia="楷体_GB2312"/>
          <w:color w:val="000000"/>
          <w:sz w:val="32"/>
          <w:szCs w:val="32"/>
        </w:rPr>
      </w:pPr>
      <w:r>
        <w:rPr>
          <w:rFonts w:hint="eastAsia" w:ascii="楷体_GB2312" w:hAnsi="华文仿宋" w:eastAsia="楷体_GB2312"/>
          <w:color w:val="000000"/>
          <w:sz w:val="32"/>
          <w:szCs w:val="32"/>
        </w:rPr>
        <w:t>（二）信息技术研发服务外包</w:t>
      </w:r>
    </w:p>
    <w:tbl>
      <w:tblPr>
        <w:tblStyle w:val="5"/>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201"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类　别</w:t>
            </w:r>
          </w:p>
        </w:tc>
        <w:tc>
          <w:tcPr>
            <w:tcW w:w="6840" w:type="dxa"/>
            <w:noWrap w:val="0"/>
            <w:tcMar>
              <w:top w:w="113" w:type="dxa"/>
              <w:bottom w:w="113" w:type="dxa"/>
            </w:tcMar>
            <w:vAlign w:val="center"/>
          </w:tcPr>
          <w:p>
            <w:pPr>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集成电路和电子电路设计</w:t>
            </w:r>
          </w:p>
        </w:tc>
        <w:tc>
          <w:tcPr>
            <w:tcW w:w="6840"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集成电路和电子电路产品设计以及相关技术支持服务等。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201"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测试平台</w:t>
            </w:r>
          </w:p>
        </w:tc>
        <w:tc>
          <w:tcPr>
            <w:tcW w:w="6840"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为软件、集成电路和电子电路的开发运用提供测试平台。</w:t>
            </w:r>
          </w:p>
        </w:tc>
      </w:tr>
    </w:tbl>
    <w:p>
      <w:pPr>
        <w:tabs>
          <w:tab w:val="left" w:pos="4500"/>
        </w:tabs>
        <w:autoSpaceDN w:val="0"/>
        <w:spacing w:before="156" w:beforeLines="50" w:after="156" w:afterLines="50" w:line="520" w:lineRule="exact"/>
        <w:ind w:firstLine="640" w:firstLineChars="200"/>
        <w:rPr>
          <w:rFonts w:hint="eastAsia" w:ascii="楷体_GB2312" w:hAnsi="华文仿宋" w:eastAsia="楷体_GB2312"/>
          <w:color w:val="000000"/>
          <w:sz w:val="32"/>
          <w:szCs w:val="32"/>
        </w:rPr>
      </w:pPr>
      <w:r>
        <w:rPr>
          <w:rFonts w:hint="eastAsia" w:ascii="楷体_GB2312" w:hAnsi="华文仿宋" w:eastAsia="楷体_GB2312"/>
          <w:color w:val="000000"/>
          <w:sz w:val="32"/>
          <w:szCs w:val="32"/>
        </w:rPr>
        <w:t>（三）信息系统运营维护外包</w:t>
      </w:r>
    </w:p>
    <w:tbl>
      <w:tblPr>
        <w:tblStyle w:val="5"/>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088"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类　别</w:t>
            </w:r>
          </w:p>
        </w:tc>
        <w:tc>
          <w:tcPr>
            <w:tcW w:w="6896" w:type="dxa"/>
            <w:noWrap w:val="0"/>
            <w:tcMar>
              <w:top w:w="113" w:type="dxa"/>
              <w:bottom w:w="113" w:type="dxa"/>
            </w:tcMar>
            <w:vAlign w:val="center"/>
          </w:tcPr>
          <w:p>
            <w:pPr>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2088"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信息系统运营和维护服务</w:t>
            </w:r>
          </w:p>
        </w:tc>
        <w:tc>
          <w:tcPr>
            <w:tcW w:w="6896"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客户内部信息系统集成、网络管理、桌面管理与维护服务；信息工程、地理信息系统、远程维护等信息系统应用服务。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088" w:type="dxa"/>
            <w:noWrap w:val="0"/>
            <w:tcMar>
              <w:top w:w="113" w:type="dxa"/>
              <w:bottom w:w="113" w:type="dxa"/>
            </w:tcMar>
            <w:vAlign w:val="center"/>
          </w:tcPr>
          <w:p>
            <w:pPr>
              <w:autoSpaceDN w:val="0"/>
              <w:spacing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基础信息技术</w:t>
            </w:r>
          </w:p>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服务</w:t>
            </w:r>
          </w:p>
        </w:tc>
        <w:tc>
          <w:tcPr>
            <w:tcW w:w="6896"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基础信息技术管理平台整合、</w:t>
            </w:r>
            <w:r>
              <w:rPr>
                <w:rFonts w:ascii="仿宋_GB2312" w:hAnsi="宋体" w:eastAsia="仿宋"/>
                <w:color w:val="000000"/>
                <w:sz w:val="30"/>
                <w:szCs w:val="30"/>
              </w:rPr>
              <w:t>IT</w:t>
            </w:r>
            <w:r>
              <w:rPr>
                <w:rFonts w:hint="eastAsia" w:ascii="仿宋_GB2312" w:hAnsi="宋体" w:eastAsia="仿宋"/>
                <w:color w:val="000000"/>
                <w:sz w:val="30"/>
                <w:szCs w:val="30"/>
              </w:rPr>
              <w:t>基础设施管理、数据中心、托管中心、安全服务、通讯服务等基础信息技术服务。</w:t>
            </w:r>
          </w:p>
        </w:tc>
      </w:tr>
    </w:tbl>
    <w:p>
      <w:pPr>
        <w:tabs>
          <w:tab w:val="left" w:pos="4500"/>
        </w:tabs>
        <w:autoSpaceDN w:val="0"/>
        <w:spacing w:after="156" w:afterLines="50" w:line="520" w:lineRule="exact"/>
        <w:rPr>
          <w:rFonts w:ascii="黑体" w:hAnsi="黑体" w:eastAsia="黑体"/>
          <w:color w:val="000000"/>
          <w:sz w:val="32"/>
          <w:szCs w:val="32"/>
        </w:rPr>
      </w:pPr>
      <w:r>
        <w:rPr>
          <w:rFonts w:hint="eastAsia" w:ascii="黑体" w:hAnsi="黑体" w:eastAsia="黑体"/>
          <w:color w:val="000000"/>
          <w:sz w:val="32"/>
          <w:szCs w:val="32"/>
        </w:rPr>
        <w:t xml:space="preserve">   二、技术性业务流程外包服务（</w:t>
      </w:r>
      <w:r>
        <w:rPr>
          <w:rFonts w:ascii="黑体" w:hAnsi="黑体" w:eastAsia="黑体"/>
          <w:color w:val="000000"/>
          <w:sz w:val="32"/>
          <w:szCs w:val="32"/>
        </w:rPr>
        <w:t>BPO</w:t>
      </w:r>
      <w:r>
        <w:rPr>
          <w:rFonts w:hint="eastAsia" w:ascii="黑体" w:hAnsi="黑体" w:eastAsia="黑体"/>
          <w:color w:val="000000"/>
          <w:sz w:val="32"/>
          <w:szCs w:val="32"/>
        </w:rPr>
        <w:t>）</w:t>
      </w:r>
    </w:p>
    <w:tbl>
      <w:tblPr>
        <w:tblStyle w:val="5"/>
        <w:tblW w:w="901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2034"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类</w:t>
            </w:r>
            <w:r>
              <w:rPr>
                <w:rFonts w:ascii="仿宋_GB2312" w:hAnsi="宋体" w:eastAsia="仿宋"/>
                <w:color w:val="000000"/>
                <w:sz w:val="30"/>
                <w:szCs w:val="30"/>
              </w:rPr>
              <w:t xml:space="preserve"> </w:t>
            </w:r>
            <w:r>
              <w:rPr>
                <w:rFonts w:hint="eastAsia" w:ascii="仿宋_GB2312" w:hAnsi="宋体" w:eastAsia="仿宋"/>
                <w:color w:val="000000"/>
                <w:sz w:val="30"/>
                <w:szCs w:val="30"/>
              </w:rPr>
              <w:t>别</w:t>
            </w:r>
          </w:p>
        </w:tc>
        <w:tc>
          <w:tcPr>
            <w:tcW w:w="6976" w:type="dxa"/>
            <w:noWrap w:val="0"/>
            <w:tcMar>
              <w:top w:w="113" w:type="dxa"/>
              <w:bottom w:w="113" w:type="dxa"/>
            </w:tcMar>
            <w:vAlign w:val="center"/>
          </w:tcPr>
          <w:p>
            <w:pPr>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034" w:type="dxa"/>
            <w:noWrap w:val="0"/>
            <w:tcMar>
              <w:top w:w="113" w:type="dxa"/>
              <w:left w:w="57" w:type="dxa"/>
              <w:bottom w:w="113" w:type="dxa"/>
              <w:right w:w="57" w:type="dxa"/>
            </w:tcMar>
            <w:vAlign w:val="center"/>
          </w:tcPr>
          <w:p>
            <w:pPr>
              <w:autoSpaceDN w:val="0"/>
              <w:spacing w:line="400" w:lineRule="exact"/>
              <w:jc w:val="center"/>
              <w:rPr>
                <w:rFonts w:ascii="仿宋_GB2312" w:hAnsi="宋体" w:eastAsia="仿宋_GB2312"/>
                <w:color w:val="000000"/>
                <w:spacing w:val="-4"/>
                <w:sz w:val="30"/>
                <w:szCs w:val="30"/>
              </w:rPr>
            </w:pPr>
            <w:r>
              <w:rPr>
                <w:rFonts w:hint="eastAsia" w:ascii="仿宋_GB2312" w:hAnsi="宋体" w:eastAsia="仿宋"/>
                <w:color w:val="000000"/>
                <w:spacing w:val="-4"/>
                <w:sz w:val="30"/>
                <w:szCs w:val="30"/>
              </w:rPr>
              <w:t>企业业务流程设计服务</w:t>
            </w:r>
          </w:p>
        </w:tc>
        <w:tc>
          <w:tcPr>
            <w:tcW w:w="6976"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为客户企业提供内部管理、业务运作等流程设计服务。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2034" w:type="dxa"/>
            <w:noWrap w:val="0"/>
            <w:tcMar>
              <w:top w:w="113" w:type="dxa"/>
              <w:bottom w:w="113" w:type="dxa"/>
            </w:tcMar>
            <w:vAlign w:val="center"/>
          </w:tcPr>
          <w:p>
            <w:pPr>
              <w:autoSpaceDN w:val="0"/>
              <w:spacing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企业内部管理</w:t>
            </w:r>
          </w:p>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服务</w:t>
            </w:r>
          </w:p>
        </w:tc>
        <w:tc>
          <w:tcPr>
            <w:tcW w:w="6976"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034" w:type="dxa"/>
            <w:noWrap w:val="0"/>
            <w:tcMar>
              <w:top w:w="113" w:type="dxa"/>
              <w:bottom w:w="113" w:type="dxa"/>
            </w:tcMar>
            <w:vAlign w:val="center"/>
          </w:tcPr>
          <w:p>
            <w:pPr>
              <w:autoSpaceDN w:val="0"/>
              <w:spacing w:line="400" w:lineRule="exact"/>
              <w:jc w:val="center"/>
              <w:rPr>
                <w:rFonts w:ascii="仿宋_GB2312" w:hAnsi="宋体" w:eastAsia="仿宋_GB2312"/>
                <w:color w:val="000000"/>
                <w:sz w:val="30"/>
                <w:szCs w:val="30"/>
              </w:rPr>
            </w:pPr>
            <w:r>
              <w:rPr>
                <w:rFonts w:hint="eastAsia" w:ascii="仿宋_GB2312" w:hAnsi="宋体" w:eastAsia="仿宋"/>
                <w:color w:val="000000"/>
                <w:sz w:val="30"/>
                <w:szCs w:val="30"/>
              </w:rPr>
              <w:t>企业运营服务</w:t>
            </w:r>
          </w:p>
        </w:tc>
        <w:tc>
          <w:tcPr>
            <w:tcW w:w="6976"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2034" w:type="dxa"/>
            <w:noWrap w:val="0"/>
            <w:tcMar>
              <w:top w:w="113" w:type="dxa"/>
              <w:bottom w:w="113" w:type="dxa"/>
            </w:tcMar>
            <w:vAlign w:val="center"/>
          </w:tcPr>
          <w:p>
            <w:pPr>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企业供应链管理服务</w:t>
            </w:r>
          </w:p>
        </w:tc>
        <w:tc>
          <w:tcPr>
            <w:tcW w:w="6976" w:type="dxa"/>
            <w:noWrap w:val="0"/>
            <w:tcMar>
              <w:top w:w="113" w:type="dxa"/>
              <w:bottom w:w="113" w:type="dxa"/>
            </w:tcMar>
            <w:vAlign w:val="center"/>
          </w:tcPr>
          <w:p>
            <w:pPr>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为客户企业提供采购、物流的整体方案设计及数据库服务。</w:t>
            </w:r>
          </w:p>
        </w:tc>
      </w:tr>
    </w:tbl>
    <w:p>
      <w:pPr>
        <w:tabs>
          <w:tab w:val="left" w:pos="4500"/>
        </w:tabs>
        <w:autoSpaceDN w:val="0"/>
        <w:spacing w:after="156" w:afterLines="50" w:line="4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三、技术性知识流程外包服务（</w:t>
      </w:r>
      <w:r>
        <w:rPr>
          <w:rFonts w:ascii="黑体" w:hAnsi="黑体" w:eastAsia="黑体"/>
          <w:color w:val="000000"/>
          <w:sz w:val="32"/>
          <w:szCs w:val="32"/>
        </w:rPr>
        <w:t>KPO</w:t>
      </w:r>
      <w:r>
        <w:rPr>
          <w:rFonts w:hint="eastAsia" w:ascii="黑体" w:hAnsi="黑体" w:eastAsia="黑体"/>
          <w:color w:val="000000"/>
          <w:sz w:val="32"/>
          <w:szCs w:val="32"/>
        </w:rPr>
        <w:t>）</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522" w:type="dxa"/>
            <w:noWrap w:val="0"/>
            <w:tcMar>
              <w:top w:w="113" w:type="dxa"/>
              <w:bottom w:w="113" w:type="dxa"/>
            </w:tcMar>
            <w:vAlign w:val="center"/>
          </w:tcPr>
          <w:p>
            <w:pPr>
              <w:tabs>
                <w:tab w:val="left" w:pos="4500"/>
              </w:tabs>
              <w:autoSpaceDN w:val="0"/>
              <w:spacing w:line="400" w:lineRule="exact"/>
              <w:jc w:val="center"/>
              <w:rPr>
                <w:rFonts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8522" w:type="dxa"/>
            <w:noWrap w:val="0"/>
            <w:tcMar>
              <w:top w:w="113" w:type="dxa"/>
              <w:bottom w:w="113" w:type="dxa"/>
            </w:tcMar>
            <w:vAlign w:val="center"/>
          </w:tcPr>
          <w:p>
            <w:pPr>
              <w:tabs>
                <w:tab w:val="left" w:pos="4500"/>
              </w:tabs>
              <w:autoSpaceDN w:val="0"/>
              <w:spacing w:line="400" w:lineRule="exact"/>
              <w:rPr>
                <w:rFonts w:ascii="仿宋_GB2312" w:hAnsi="宋体" w:eastAsia="仿宋"/>
                <w:color w:val="000000"/>
                <w:sz w:val="30"/>
                <w:szCs w:val="30"/>
              </w:rPr>
            </w:pPr>
            <w:r>
              <w:rPr>
                <w:rFonts w:hint="eastAsia" w:ascii="仿宋_GB2312" w:hAnsi="宋体" w:eastAsia="仿宋"/>
                <w:color w:val="000000"/>
                <w:sz w:val="30"/>
                <w:szCs w:val="30"/>
              </w:rPr>
              <w:t>知识产权研究、医药和生物技术研发和测试、产品技术研发、工业设计、分析学和数据挖掘、动漫及网游设计研发、教育课件研发、工程设计等领域。</w:t>
            </w:r>
          </w:p>
        </w:tc>
      </w:tr>
    </w:tbl>
    <w:p>
      <w:pPr>
        <w:snapToGrid w:val="0"/>
        <w:spacing w:before="156" w:beforeLines="50" w:after="156" w:afterLines="50" w:line="400" w:lineRule="exact"/>
        <w:ind w:firstLine="640" w:firstLineChars="200"/>
        <w:jc w:val="left"/>
        <w:rPr>
          <w:rFonts w:hint="eastAsia" w:ascii="黑体" w:hAnsi="仿宋" w:eastAsia="黑体" w:cs="仿宋"/>
          <w:bCs/>
          <w:sz w:val="32"/>
          <w:szCs w:val="32"/>
        </w:rPr>
      </w:pPr>
      <w:r>
        <w:rPr>
          <w:rFonts w:hint="eastAsia" w:ascii="黑体" w:hAnsi="黑体" w:eastAsia="黑体"/>
          <w:color w:val="000000"/>
          <w:sz w:val="32"/>
          <w:szCs w:val="32"/>
        </w:rPr>
        <w:t>四、</w:t>
      </w:r>
      <w:r>
        <w:rPr>
          <w:rFonts w:hint="eastAsia" w:ascii="黑体" w:hAnsi="仿宋" w:eastAsia="黑体" w:cs="仿宋"/>
          <w:bCs/>
          <w:sz w:val="32"/>
          <w:szCs w:val="32"/>
        </w:rPr>
        <w:t>服务贸易类</w:t>
      </w:r>
    </w:p>
    <w:p>
      <w:pPr>
        <w:snapToGrid w:val="0"/>
        <w:spacing w:before="156" w:beforeLines="50" w:after="156" w:afterLines="50" w:line="400" w:lineRule="exact"/>
        <w:jc w:val="left"/>
        <w:rPr>
          <w:rFonts w:hint="eastAsia" w:ascii="楷体_GB2312" w:hAnsi="方正楷体_GBK" w:eastAsia="楷体_GB2312" w:cs="方正楷体_GBK"/>
          <w:sz w:val="32"/>
          <w:szCs w:val="32"/>
        </w:rPr>
      </w:pPr>
      <w:r>
        <w:rPr>
          <w:rFonts w:hint="eastAsia" w:ascii="方正楷体_GBK" w:hAnsi="方正楷体_GBK" w:eastAsia="方正楷体_GBK" w:cs="方正楷体_GBK"/>
          <w:b/>
          <w:sz w:val="32"/>
          <w:szCs w:val="32"/>
        </w:rPr>
        <w:t xml:space="preserve">   </w:t>
      </w:r>
      <w:r>
        <w:rPr>
          <w:rFonts w:hint="eastAsia" w:ascii="楷体_GB2312" w:hAnsi="方正楷体_GBK" w:eastAsia="楷体_GB2312" w:cs="方正楷体_GBK"/>
          <w:sz w:val="32"/>
          <w:szCs w:val="32"/>
        </w:rPr>
        <w:t xml:space="preserve"> （一）计算机和信息服务</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176" w:type="dxa"/>
            <w:noWrap w:val="0"/>
            <w:vAlign w:val="center"/>
          </w:tcPr>
          <w:p>
            <w:pPr>
              <w:snapToGrid w:val="0"/>
              <w:spacing w:before="156" w:beforeLines="50" w:after="156" w:afterLines="50" w:line="400" w:lineRule="exact"/>
              <w:jc w:val="center"/>
              <w:rPr>
                <w:rFonts w:hint="eastAsia" w:ascii="仿宋_GB2312" w:hAnsi="方正仿宋_GBK" w:eastAsia="仿宋_GB2312" w:cs="方正仿宋_GBK"/>
                <w:bCs/>
                <w:sz w:val="30"/>
                <w:szCs w:val="30"/>
              </w:rPr>
            </w:pPr>
            <w:r>
              <w:rPr>
                <w:rFonts w:hint="eastAsia" w:ascii="仿宋_GB2312" w:hAnsi="方正仿宋_GBK" w:eastAsia="仿宋_GB2312" w:cs="方正仿宋_GBK"/>
                <w:sz w:val="30"/>
                <w:szCs w:val="30"/>
              </w:rPr>
              <w:t>类别</w:t>
            </w:r>
          </w:p>
        </w:tc>
        <w:tc>
          <w:tcPr>
            <w:tcW w:w="6765" w:type="dxa"/>
            <w:noWrap w:val="0"/>
            <w:vAlign w:val="center"/>
          </w:tcPr>
          <w:p>
            <w:pPr>
              <w:snapToGrid w:val="0"/>
              <w:spacing w:before="156" w:beforeLines="50" w:after="156" w:afterLines="50" w:line="400" w:lineRule="exact"/>
              <w:jc w:val="center"/>
              <w:rPr>
                <w:rFonts w:hint="eastAsia" w:ascii="仿宋_GB2312" w:hAnsi="方正仿宋_GBK" w:eastAsia="仿宋_GB2312" w:cs="方正仿宋_GBK"/>
                <w:bCs/>
                <w:sz w:val="30"/>
                <w:szCs w:val="30"/>
              </w:rPr>
            </w:pPr>
            <w:r>
              <w:rPr>
                <w:rFonts w:hint="eastAsia" w:ascii="仿宋_GB2312" w:hAnsi="方正仿宋_GBK" w:eastAsia="仿宋_GB2312" w:cs="方正仿宋_GBK"/>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信息系统</w:t>
            </w:r>
          </w:p>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集成服务</w:t>
            </w:r>
          </w:p>
        </w:tc>
        <w:tc>
          <w:tcPr>
            <w:tcW w:w="6765" w:type="dxa"/>
            <w:noWrap w:val="0"/>
            <w:vAlign w:val="center"/>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系统集成咨询服务；系统集成工程服务；提供硬件设备现场组装、软件安装与调试及相关运营维护支持服务；系统运营维护服务，包括系统运行检测监控、故障定位与排除、性能管理、优化升级等。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数据服务</w:t>
            </w:r>
          </w:p>
        </w:tc>
        <w:tc>
          <w:tcPr>
            <w:tcW w:w="6765" w:type="dxa"/>
            <w:noWrap w:val="0"/>
            <w:vAlign w:val="center"/>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数据存储管理服务，提供数据规划、评估、审计、咨询、清洗、整理、应用服务、数据增值服务，提供其他未分类数据处理服务。</w:t>
            </w:r>
          </w:p>
        </w:tc>
      </w:tr>
    </w:tbl>
    <w:p>
      <w:pPr>
        <w:snapToGrid w:val="0"/>
        <w:spacing w:before="156" w:beforeLines="50" w:after="156" w:afterLines="50" w:line="400" w:lineRule="exact"/>
        <w:jc w:val="left"/>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 xml:space="preserve">    （二）研究开发和技术服务</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类别</w:t>
            </w:r>
          </w:p>
        </w:tc>
        <w:tc>
          <w:tcPr>
            <w:tcW w:w="6765"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研究和实验开发服务</w:t>
            </w:r>
          </w:p>
        </w:tc>
        <w:tc>
          <w:tcPr>
            <w:tcW w:w="6765" w:type="dxa"/>
            <w:noWrap w:val="0"/>
            <w:vAlign w:val="center"/>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物理学、化学、生物学、基因学、工程学、医学、农业科学、环境科学、人类地理科学、经济学和人文科学等领域的研究和实验开发服务。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工业设计</w:t>
            </w:r>
          </w:p>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服务</w:t>
            </w:r>
          </w:p>
        </w:tc>
        <w:tc>
          <w:tcPr>
            <w:tcW w:w="6765" w:type="dxa"/>
            <w:noWrap w:val="0"/>
            <w:vAlign w:val="center"/>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对产品的材料、结构、机理、形状、颜色和表面处理的设计与选择；对产品进行的综合设计服务，即产品外观的设计、机械结构和电路设计等服务。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center"/>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知识产权跨境许可与转让</w:t>
            </w:r>
          </w:p>
        </w:tc>
        <w:tc>
          <w:tcPr>
            <w:tcW w:w="6765" w:type="dxa"/>
            <w:noWrap w:val="0"/>
            <w:vAlign w:val="center"/>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以专利、版权、商标等为载体的技术贸易。如知识产权跨境学科是指授权境外机构有偿使用专利、版权和商标等；知识产权跨境转让是指将专利、版权和商标等知识产权售卖给境外机构。</w:t>
            </w:r>
          </w:p>
        </w:tc>
      </w:tr>
    </w:tbl>
    <w:p>
      <w:pPr>
        <w:snapToGrid w:val="0"/>
        <w:spacing w:before="156" w:beforeLines="50" w:after="156" w:afterLines="50" w:line="400" w:lineRule="exact"/>
        <w:jc w:val="left"/>
        <w:rPr>
          <w:rFonts w:hint="eastAsia" w:ascii="楷体_GB2312" w:hAnsi="宋体" w:eastAsia="楷体_GB2312"/>
          <w:color w:val="000000"/>
          <w:sz w:val="30"/>
          <w:szCs w:val="30"/>
        </w:rPr>
      </w:pPr>
      <w:r>
        <w:rPr>
          <w:rFonts w:hint="eastAsia" w:ascii="仿宋_GB2312" w:hAnsi="宋体" w:eastAsia="仿宋"/>
          <w:color w:val="000000"/>
          <w:sz w:val="30"/>
          <w:szCs w:val="30"/>
        </w:rPr>
        <w:t xml:space="preserve">   </w:t>
      </w:r>
      <w:r>
        <w:rPr>
          <w:rFonts w:hint="eastAsia" w:ascii="楷体_GB2312" w:hAnsi="宋体" w:eastAsia="楷体_GB2312"/>
          <w:color w:val="000000"/>
          <w:sz w:val="30"/>
          <w:szCs w:val="30"/>
        </w:rPr>
        <w:t xml:space="preserve"> （三）文化技术服务</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top"/>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类别</w:t>
            </w:r>
          </w:p>
        </w:tc>
        <w:tc>
          <w:tcPr>
            <w:tcW w:w="6765" w:type="dxa"/>
            <w:noWrap w:val="0"/>
            <w:vAlign w:val="top"/>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top"/>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文化产品数字制作及相关服务</w:t>
            </w:r>
          </w:p>
        </w:tc>
        <w:tc>
          <w:tcPr>
            <w:tcW w:w="6765" w:type="dxa"/>
            <w:noWrap w:val="0"/>
            <w:vAlign w:val="top"/>
          </w:tcPr>
          <w:p>
            <w:pPr>
              <w:snapToGrid w:val="0"/>
              <w:spacing w:before="156" w:beforeLines="50" w:after="156" w:afterLines="50" w:line="400" w:lineRule="exact"/>
              <w:jc w:val="left"/>
              <w:rPr>
                <w:rFonts w:hint="eastAsia" w:ascii="仿宋_GB2312" w:hAnsi="宋体" w:eastAsia="仿宋"/>
                <w:color w:val="000000"/>
                <w:spacing w:val="-20"/>
                <w:sz w:val="30"/>
                <w:szCs w:val="30"/>
              </w:rPr>
            </w:pPr>
            <w:r>
              <w:rPr>
                <w:rFonts w:hint="eastAsia" w:ascii="仿宋_GB2312" w:hAnsi="宋体" w:eastAsia="仿宋"/>
                <w:color w:val="000000"/>
                <w:spacing w:val="-20"/>
                <w:sz w:val="30"/>
                <w:szCs w:val="30"/>
              </w:rPr>
              <w:t>采用数字技术对舞台剧目、音乐、美术、文物、非物质文化遗产、文献资源等文化内容以及各种出版物进行数字化和开发，为各种显示终端提供内容，以及采用数字技术传播、经营文化产品等相关服务。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top"/>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文化产品的对外翻译、配音及制作服务</w:t>
            </w:r>
          </w:p>
        </w:tc>
        <w:tc>
          <w:tcPr>
            <w:tcW w:w="6765" w:type="dxa"/>
            <w:noWrap w:val="0"/>
            <w:vAlign w:val="top"/>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将本国文化产品翻译成其他国家语言，将其他国家文化产品翻译或配音成本国语言以及与其相关的制作服务。</w:t>
            </w:r>
          </w:p>
        </w:tc>
      </w:tr>
    </w:tbl>
    <w:p>
      <w:pPr>
        <w:snapToGrid w:val="0"/>
        <w:spacing w:before="156" w:beforeLines="50" w:after="156" w:afterLines="50" w:line="400" w:lineRule="exact"/>
        <w:jc w:val="left"/>
        <w:rPr>
          <w:rFonts w:hint="eastAsia" w:ascii="楷体_GB2312" w:hAnsi="宋体" w:eastAsia="楷体_GB2312"/>
          <w:color w:val="000000"/>
          <w:sz w:val="30"/>
          <w:szCs w:val="30"/>
        </w:rPr>
      </w:pPr>
      <w:r>
        <w:rPr>
          <w:rFonts w:hint="eastAsia" w:ascii="仿宋_GB2312" w:hAnsi="宋体" w:eastAsia="仿宋"/>
          <w:color w:val="000000"/>
          <w:sz w:val="30"/>
          <w:szCs w:val="30"/>
        </w:rPr>
        <w:t xml:space="preserve">   </w:t>
      </w:r>
      <w:r>
        <w:rPr>
          <w:rFonts w:hint="eastAsia" w:ascii="楷体_GB2312" w:hAnsi="宋体" w:eastAsia="楷体_GB2312"/>
          <w:color w:val="000000"/>
          <w:sz w:val="30"/>
          <w:szCs w:val="30"/>
        </w:rPr>
        <w:t xml:space="preserve"> （四）中医药医疗服务</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top"/>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类别</w:t>
            </w:r>
          </w:p>
        </w:tc>
        <w:tc>
          <w:tcPr>
            <w:tcW w:w="6765" w:type="dxa"/>
            <w:noWrap w:val="0"/>
            <w:vAlign w:val="top"/>
          </w:tcPr>
          <w:p>
            <w:pPr>
              <w:snapToGrid w:val="0"/>
              <w:spacing w:before="156" w:beforeLines="50" w:after="156" w:afterLines="50" w:line="400" w:lineRule="exact"/>
              <w:jc w:val="center"/>
              <w:rPr>
                <w:rFonts w:hint="eastAsia" w:ascii="仿宋_GB2312" w:hAnsi="宋体" w:eastAsia="仿宋"/>
                <w:color w:val="000000"/>
                <w:sz w:val="30"/>
                <w:szCs w:val="30"/>
              </w:rPr>
            </w:pPr>
            <w:r>
              <w:rPr>
                <w:rFonts w:hint="eastAsia" w:ascii="仿宋_GB2312" w:hAnsi="宋体" w:eastAsia="仿宋"/>
                <w:color w:val="000000"/>
                <w:sz w:val="30"/>
                <w:szCs w:val="30"/>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noWrap w:val="0"/>
            <w:vAlign w:val="top"/>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中医药医疗保健及相关服务</w:t>
            </w:r>
          </w:p>
        </w:tc>
        <w:tc>
          <w:tcPr>
            <w:tcW w:w="6765" w:type="dxa"/>
            <w:noWrap w:val="0"/>
            <w:vAlign w:val="top"/>
          </w:tcPr>
          <w:p>
            <w:pPr>
              <w:snapToGrid w:val="0"/>
              <w:spacing w:before="156" w:beforeLines="50" w:after="156" w:afterLines="50" w:line="400" w:lineRule="exact"/>
              <w:jc w:val="left"/>
              <w:rPr>
                <w:rFonts w:hint="eastAsia" w:ascii="仿宋_GB2312" w:hAnsi="宋体" w:eastAsia="仿宋"/>
                <w:color w:val="000000"/>
                <w:sz w:val="30"/>
                <w:szCs w:val="30"/>
              </w:rPr>
            </w:pPr>
            <w:r>
              <w:rPr>
                <w:rFonts w:hint="eastAsia" w:ascii="仿宋_GB2312" w:hAnsi="宋体" w:eastAsia="仿宋"/>
                <w:color w:val="000000"/>
                <w:sz w:val="30"/>
                <w:szCs w:val="30"/>
              </w:rPr>
              <w:t>与中医药相关的远程医疗保健、教育培训、文化交流等服务。</w:t>
            </w:r>
          </w:p>
        </w:tc>
      </w:tr>
    </w:tbl>
    <w:p>
      <w:pPr>
        <w:spacing w:line="600" w:lineRule="exact"/>
        <w:rPr>
          <w:rFonts w:ascii="仿宋_GB2312" w:eastAsia="仿宋_GB2312"/>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3</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14E01"/>
    <w:rsid w:val="06A14E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2019-06-06T08:15:00Z</dcterms:created>
  <dc:creator>吉他里的阳光</dc:creator>
  <cp:lastModifiedBy>吉他里的阳光</cp:lastModifiedBy>
  <dcterms:modified xsi:type="dcterms:W3CDTF">2019-06-06T08:16:42Z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