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附件</w:t>
      </w:r>
      <w:r>
        <w:rPr>
          <w:rFonts w:hint="eastAsia" w:asciiTheme="minorEastAsia" w:hAnsiTheme="minorEastAsia"/>
          <w:sz w:val="32"/>
          <w:szCs w:val="32"/>
        </w:rPr>
        <w:t>3：</w:t>
      </w:r>
      <w:r>
        <w:rPr>
          <w:sz w:val="32"/>
          <w:szCs w:val="32"/>
        </w:rPr>
        <w:t xml:space="preserve"> </w:t>
      </w:r>
    </w:p>
    <w:p>
      <w:pPr>
        <w:jc w:val="left"/>
        <w:rPr>
          <w:rFonts w:asciiTheme="minorEastAsia" w:hAnsiTheme="minorEastAsia"/>
          <w:sz w:val="28"/>
          <w:szCs w:val="28"/>
        </w:rPr>
      </w:pP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山东省工程技术研究中心绩效填报用户手册</w:t>
      </w:r>
    </w:p>
    <w:p>
      <w:pPr>
        <w:jc w:val="center"/>
        <w:rPr>
          <w:rFonts w:asciiTheme="majorEastAsia" w:hAnsiTheme="majorEastAsia" w:eastAsiaTheme="majorEastAsia"/>
          <w:b/>
          <w:sz w:val="48"/>
          <w:szCs w:val="52"/>
        </w:rPr>
      </w:pP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/>
          <w:b/>
          <w:sz w:val="32"/>
          <w:szCs w:val="32"/>
        </w:rPr>
      </w:pP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pStyle w:val="8"/>
      </w:pPr>
      <w:r>
        <w:t>目录</w:t>
      </w:r>
    </w:p>
    <w:p>
      <w:pPr>
        <w:pStyle w:val="8"/>
        <w:rPr>
          <w:b w:val="0"/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TOC \o "1-5" \h \z \u </w:instrText>
      </w:r>
      <w:r>
        <w:rPr>
          <w:sz w:val="24"/>
        </w:rPr>
        <w:fldChar w:fldCharType="separate"/>
      </w:r>
      <w:r>
        <w:fldChar w:fldCharType="begin"/>
      </w:r>
      <w:r>
        <w:instrText xml:space="preserve"> HYPERLINK \l "_Toc517876511" </w:instrText>
      </w:r>
      <w:r>
        <w:fldChar w:fldCharType="separate"/>
      </w:r>
      <w:r>
        <w:rPr>
          <w:rStyle w:val="10"/>
          <w:rFonts w:hint="eastAsia"/>
          <w:sz w:val="24"/>
        </w:rPr>
        <w:t>一、系统概述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_Toc517876511 \h </w:instrText>
      </w:r>
      <w:r>
        <w:rPr>
          <w:sz w:val="24"/>
        </w:rPr>
        <w:fldChar w:fldCharType="separate"/>
      </w:r>
      <w:r>
        <w:rPr>
          <w:sz w:val="24"/>
        </w:rPr>
        <w:t>19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8"/>
        <w:rPr>
          <w:b w:val="0"/>
          <w:sz w:val="24"/>
        </w:rPr>
      </w:pPr>
      <w:r>
        <w:fldChar w:fldCharType="begin"/>
      </w:r>
      <w:r>
        <w:instrText xml:space="preserve"> HYPERLINK \l "_Toc517876512" </w:instrText>
      </w:r>
      <w:r>
        <w:fldChar w:fldCharType="separate"/>
      </w:r>
      <w:r>
        <w:rPr>
          <w:rStyle w:val="10"/>
          <w:rFonts w:hint="eastAsia"/>
          <w:sz w:val="24"/>
        </w:rPr>
        <w:t>二、浏览器使用说明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_Toc517876512 \h </w:instrText>
      </w:r>
      <w:r>
        <w:rPr>
          <w:sz w:val="24"/>
        </w:rPr>
        <w:fldChar w:fldCharType="separate"/>
      </w:r>
      <w:r>
        <w:rPr>
          <w:sz w:val="24"/>
        </w:rPr>
        <w:t>19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8"/>
        <w:rPr>
          <w:b w:val="0"/>
          <w:sz w:val="24"/>
        </w:rPr>
      </w:pPr>
      <w:r>
        <w:fldChar w:fldCharType="begin"/>
      </w:r>
      <w:r>
        <w:instrText xml:space="preserve"> HYPERLINK \l "_Toc517876513" </w:instrText>
      </w:r>
      <w:r>
        <w:fldChar w:fldCharType="separate"/>
      </w:r>
      <w:r>
        <w:rPr>
          <w:rStyle w:val="10"/>
          <w:rFonts w:hint="eastAsia"/>
          <w:sz w:val="24"/>
        </w:rPr>
        <w:t>三、系统登录入口方式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_Toc517876513 \h </w:instrText>
      </w:r>
      <w:r>
        <w:rPr>
          <w:sz w:val="24"/>
        </w:rPr>
        <w:fldChar w:fldCharType="separate"/>
      </w:r>
      <w:r>
        <w:rPr>
          <w:sz w:val="24"/>
        </w:rPr>
        <w:t>20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8"/>
        <w:rPr>
          <w:b w:val="0"/>
          <w:sz w:val="24"/>
        </w:rPr>
      </w:pPr>
      <w:r>
        <w:fldChar w:fldCharType="begin"/>
      </w:r>
      <w:r>
        <w:instrText xml:space="preserve"> HYPERLINK \l "_Toc517876514" </w:instrText>
      </w:r>
      <w:r>
        <w:fldChar w:fldCharType="separate"/>
      </w:r>
      <w:r>
        <w:rPr>
          <w:rStyle w:val="10"/>
          <w:rFonts w:hint="eastAsia"/>
          <w:sz w:val="24"/>
        </w:rPr>
        <w:t>四、账号说明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_Toc517876514 \h </w:instrText>
      </w:r>
      <w:r>
        <w:rPr>
          <w:sz w:val="24"/>
        </w:rPr>
        <w:fldChar w:fldCharType="separate"/>
      </w:r>
      <w:r>
        <w:rPr>
          <w:sz w:val="24"/>
        </w:rPr>
        <w:t>20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"_Toc517876515"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1.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未注册山东省科技云平台账号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_Toc517876515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20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6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"_Toc517876516"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2.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已注册山东省科技云平台账号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_Toc517876516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21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8"/>
        <w:rPr>
          <w:b w:val="0"/>
          <w:sz w:val="24"/>
        </w:rPr>
      </w:pPr>
      <w:r>
        <w:fldChar w:fldCharType="begin"/>
      </w:r>
      <w:r>
        <w:instrText xml:space="preserve"> HYPERLINK \l "_Toc517876517" </w:instrText>
      </w:r>
      <w:r>
        <w:fldChar w:fldCharType="separate"/>
      </w:r>
      <w:r>
        <w:rPr>
          <w:rStyle w:val="10"/>
          <w:rFonts w:hint="eastAsia"/>
          <w:sz w:val="24"/>
        </w:rPr>
        <w:t>五、绑定工程中心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_Toc517876517 \h </w:instrText>
      </w:r>
      <w:r>
        <w:rPr>
          <w:sz w:val="24"/>
        </w:rPr>
        <w:fldChar w:fldCharType="separate"/>
      </w:r>
      <w:r>
        <w:rPr>
          <w:sz w:val="24"/>
        </w:rPr>
        <w:t>21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8"/>
        <w:rPr>
          <w:b w:val="0"/>
          <w:sz w:val="24"/>
        </w:rPr>
      </w:pPr>
      <w:r>
        <w:fldChar w:fldCharType="begin"/>
      </w:r>
      <w:r>
        <w:instrText xml:space="preserve"> HYPERLINK \l "_Toc517876518" </w:instrText>
      </w:r>
      <w:r>
        <w:fldChar w:fldCharType="separate"/>
      </w:r>
      <w:r>
        <w:rPr>
          <w:rStyle w:val="10"/>
          <w:rFonts w:hint="eastAsia"/>
          <w:sz w:val="24"/>
        </w:rPr>
        <w:t>六、工程中心绩效填报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_Toc517876518 \h </w:instrText>
      </w:r>
      <w:r>
        <w:rPr>
          <w:sz w:val="24"/>
        </w:rPr>
        <w:fldChar w:fldCharType="separate"/>
      </w:r>
      <w:r>
        <w:rPr>
          <w:sz w:val="24"/>
        </w:rPr>
        <w:t>24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"_Toc517876519"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1.1.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基本情况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_Toc517876519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24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"_Toc517876520"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1.2.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研究方向与条件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_Toc517876520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24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"_Toc517876521"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1.3.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团队建设与人才培育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_Toc517876521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25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"_Toc517876522"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1.4.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研发产出及成效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_Toc517876522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26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"_Toc517876523"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1.5.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开放交流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_Toc517876523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26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"_Toc517876524"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1.6.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产学研合作情况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_Toc517876524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27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"_Toc517876525"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1.7.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运行管理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_Toc517876525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27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"_Toc517876526"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1.8.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修改、预览、提交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_Toc517876526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28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  <w:r>
        <w:rPr>
          <w:rFonts w:ascii="微软雅黑" w:hAnsi="微软雅黑" w:eastAsia="微软雅黑"/>
          <w:b/>
          <w:sz w:val="24"/>
          <w:szCs w:val="24"/>
        </w:rPr>
        <w:fldChar w:fldCharType="end"/>
      </w:r>
    </w:p>
    <w:p>
      <w:pPr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pStyle w:val="3"/>
      </w:pPr>
      <w:bookmarkStart w:id="0" w:name="_Toc517802292"/>
      <w:bookmarkStart w:id="1" w:name="_Toc517876511"/>
      <w:r>
        <w:rPr>
          <w:rFonts w:hint="eastAsia"/>
        </w:rPr>
        <w:t>一、系统概述</w:t>
      </w:r>
      <w:bookmarkEnd w:id="0"/>
      <w:bookmarkEnd w:id="1"/>
    </w:p>
    <w:p>
      <w:pPr>
        <w:pStyle w:val="12"/>
        <w:ind w:left="720" w:firstLine="48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山东省省级（示范）工程技术研究中心管理系统（本文中简称“工程中心系统”），为进一步规范省级（示范）工程技术研究中心建设和运行，提升中心发展水平，为新旧动能转换提供支撑，根据《山东省省级工程技术研究中心提质升级的实施意见（试行）》及有关规定，现启动2018年度省级（示范）工程技术研究中心绩效评估工作，使用山东省科技云平台，工程研究中心系统完成绩效评估工作。</w:t>
      </w:r>
    </w:p>
    <w:p>
      <w:pPr>
        <w:pStyle w:val="3"/>
      </w:pPr>
      <w:bookmarkStart w:id="2" w:name="_Toc517802293"/>
      <w:bookmarkStart w:id="3" w:name="_Toc517876512"/>
      <w:r>
        <w:rPr>
          <w:rFonts w:hint="eastAsia"/>
        </w:rPr>
        <w:t>二、浏览器使用说明</w:t>
      </w:r>
      <w:bookmarkEnd w:id="2"/>
      <w:bookmarkEnd w:id="3"/>
    </w:p>
    <w:p>
      <w:pPr>
        <w:pStyle w:val="12"/>
        <w:ind w:left="720" w:firstLine="0" w:firstLineChars="0"/>
        <w:jc w:val="center"/>
      </w:pPr>
      <w:r>
        <w:drawing>
          <wp:inline distT="0" distB="0" distL="0" distR="0">
            <wp:extent cx="5151755" cy="3771265"/>
            <wp:effectExtent l="0" t="0" r="1079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3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503773531"/>
      <w:bookmarkStart w:id="5" w:name="_Toc503773773"/>
      <w:bookmarkStart w:id="6" w:name="_Toc517876513"/>
      <w:bookmarkStart w:id="7" w:name="_Toc503773681"/>
      <w:bookmarkStart w:id="8" w:name="_Toc517802294"/>
      <w:r>
        <w:t>三</w:t>
      </w:r>
      <w:r>
        <w:rPr>
          <w:rFonts w:hint="eastAsia"/>
        </w:rPr>
        <w:t>、</w:t>
      </w:r>
      <w:r>
        <w:t>系统登录入口方式</w:t>
      </w:r>
      <w:bookmarkEnd w:id="4"/>
      <w:bookmarkEnd w:id="5"/>
      <w:bookmarkEnd w:id="6"/>
      <w:bookmarkEnd w:id="7"/>
      <w:bookmarkEnd w:id="8"/>
    </w:p>
    <w:p>
      <w:pPr>
        <w:widowControl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点击链接</w:t>
      </w:r>
      <w:r>
        <w:rPr>
          <w:rFonts w:hint="eastAsia" w:ascii="微软雅黑" w:hAnsi="微软雅黑" w:eastAsia="微软雅黑"/>
          <w:sz w:val="24"/>
          <w:szCs w:val="24"/>
        </w:rPr>
        <w:t>（</w:t>
      </w:r>
      <w:r>
        <w:fldChar w:fldCharType="begin"/>
      </w:r>
      <w:r>
        <w:instrText xml:space="preserve"> HYPERLINK "http://cloud.sdstc.gov.cn/"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http://cloud.sdstc.gov.cn/</w:t>
      </w:r>
      <w:r>
        <w:rPr>
          <w:rStyle w:val="10"/>
          <w:rFonts w:ascii="微软雅黑" w:hAnsi="微软雅黑" w:eastAsia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 w:val="24"/>
          <w:szCs w:val="24"/>
        </w:rPr>
        <w:t>）进入山东省科技云平台，如图：</w:t>
      </w:r>
    </w:p>
    <w:p>
      <w:pPr>
        <w:jc w:val="center"/>
      </w:pPr>
      <w:r>
        <w:drawing>
          <wp:inline distT="0" distB="0" distL="0" distR="0">
            <wp:extent cx="5274310" cy="41313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3</w:t>
      </w:r>
      <w:r>
        <w:t>.1</w:t>
      </w:r>
    </w:p>
    <w:p>
      <w:pPr>
        <w:pStyle w:val="3"/>
      </w:pPr>
      <w:bookmarkStart w:id="9" w:name="_Toc517802295"/>
      <w:bookmarkStart w:id="10" w:name="_Toc517876514"/>
      <w:r>
        <w:rPr>
          <w:rFonts w:hint="eastAsia"/>
        </w:rPr>
        <w:t>四、</w:t>
      </w:r>
      <w:bookmarkEnd w:id="9"/>
      <w:r>
        <w:rPr>
          <w:rFonts w:hint="eastAsia"/>
        </w:rPr>
        <w:t>账号说明</w:t>
      </w:r>
      <w:bookmarkEnd w:id="10"/>
    </w:p>
    <w:p>
      <w:pPr>
        <w:pStyle w:val="4"/>
      </w:pPr>
      <w:bookmarkStart w:id="11" w:name="_Toc517802296"/>
      <w:bookmarkStart w:id="12" w:name="_Toc517876515"/>
      <w:r>
        <w:rPr>
          <w:rFonts w:hint="eastAsia"/>
        </w:rPr>
        <w:t>1</w:t>
      </w:r>
      <w:r>
        <w:t>.</w:t>
      </w:r>
      <w:r>
        <w:rPr>
          <w:rFonts w:hint="eastAsia"/>
        </w:rPr>
        <w:t>未</w:t>
      </w:r>
      <w:r>
        <w:t>注册山东省科技云平台账号</w:t>
      </w:r>
      <w:bookmarkEnd w:id="11"/>
      <w:bookmarkEnd w:id="12"/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若无山东省科技云平台账号，请点击以下链接完成注册：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注册链接：（</w:t>
      </w:r>
      <w:r>
        <w:fldChar w:fldCharType="begin"/>
      </w:r>
      <w:r>
        <w:instrText xml:space="preserve"> HYPERLINK "http://cloud.sdstc.gov.cn/uc/index/signup.htm"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http://cloud.sdstc.gov.cn/uc/index/signup.htm</w:t>
      </w:r>
      <w:r>
        <w:rPr>
          <w:rStyle w:val="10"/>
          <w:rFonts w:ascii="微软雅黑" w:hAnsi="微软雅黑" w:eastAsia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 w:val="24"/>
          <w:szCs w:val="24"/>
        </w:rPr>
        <w:t>）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参考手册：（</w:t>
      </w:r>
      <w:r>
        <w:fldChar w:fldCharType="begin"/>
      </w:r>
      <w:r>
        <w:instrText xml:space="preserve"> HYPERLINK "http://cloud.sdstc.gov.cn/bzzx/1214.jhtml"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http://cloud.sdstc.gov.cn/bzzx/1214.jhtml</w:t>
      </w:r>
      <w:r>
        <w:rPr>
          <w:rStyle w:val="10"/>
          <w:rFonts w:ascii="微软雅黑" w:hAnsi="微软雅黑" w:eastAsia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 w:val="24"/>
          <w:szCs w:val="24"/>
        </w:rPr>
        <w:t>）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请详细阅读单位用户注册流程完成账号注册。</w:t>
      </w:r>
    </w:p>
    <w:p>
      <w:pPr>
        <w:pStyle w:val="4"/>
      </w:pPr>
      <w:bookmarkStart w:id="13" w:name="_Toc517876516"/>
      <w:bookmarkStart w:id="14" w:name="_Toc517802297"/>
      <w:r>
        <w:rPr>
          <w:rFonts w:hint="eastAsia"/>
        </w:rPr>
        <w:t>2</w:t>
      </w:r>
      <w:r>
        <w:t>.</w:t>
      </w:r>
      <w:r>
        <w:rPr>
          <w:rFonts w:hint="eastAsia"/>
        </w:rPr>
        <w:t>已注册山东</w:t>
      </w:r>
      <w:r>
        <w:t>省科技云平台账号</w:t>
      </w:r>
      <w:bookmarkEnd w:id="13"/>
      <w:bookmarkEnd w:id="14"/>
      <w:r>
        <w:rPr>
          <w:rFonts w:hint="eastAsia"/>
        </w:rPr>
        <w:t>但信息尚未完善</w:t>
      </w:r>
    </w:p>
    <w:p>
      <w:pPr>
        <w:ind w:firstLine="480" w:firstLineChars="200"/>
      </w:pPr>
      <w:r>
        <w:rPr>
          <w:rFonts w:ascii="微软雅黑" w:hAnsi="微软雅黑" w:eastAsia="微软雅黑"/>
          <w:sz w:val="24"/>
          <w:szCs w:val="24"/>
        </w:rPr>
        <w:t>如有</w:t>
      </w:r>
      <w:r>
        <w:rPr>
          <w:rFonts w:hint="eastAsia" w:ascii="微软雅黑" w:hAnsi="微软雅黑" w:eastAsia="微软雅黑"/>
          <w:sz w:val="24"/>
          <w:szCs w:val="24"/>
        </w:rPr>
        <w:t>山东</w:t>
      </w:r>
      <w:r>
        <w:rPr>
          <w:rFonts w:ascii="微软雅黑" w:hAnsi="微软雅黑" w:eastAsia="微软雅黑"/>
          <w:sz w:val="24"/>
          <w:szCs w:val="24"/>
        </w:rPr>
        <w:t>省科技云平台账号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登陆提示</w:t>
      </w:r>
      <w:r>
        <w:rPr>
          <w:rFonts w:hint="eastAsia" w:ascii="微软雅黑" w:hAnsi="微软雅黑" w:eastAsia="微软雅黑"/>
          <w:sz w:val="24"/>
          <w:szCs w:val="24"/>
        </w:rPr>
        <w:t>“账号信息尚未完善”如图4.2，请点击“去完善”完善账号信息。</w:t>
      </w:r>
    </w:p>
    <w:p>
      <w:pPr>
        <w:ind w:firstLine="420" w:firstLineChars="200"/>
        <w:jc w:val="center"/>
      </w:pPr>
      <w:r>
        <w:drawing>
          <wp:inline distT="0" distB="0" distL="0" distR="0">
            <wp:extent cx="2618740" cy="3056890"/>
            <wp:effectExtent l="0" t="0" r="1016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已注册山东</w:t>
      </w:r>
      <w:r>
        <w:t>省科技云平台账号</w:t>
      </w:r>
      <w:r>
        <w:rPr>
          <w:rFonts w:hint="eastAsia"/>
        </w:rPr>
        <w:t>并且能够正常登陆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请直接进行第五步（绑定工程中心</w:t>
      </w:r>
      <w:r>
        <w:rPr>
          <w:rFonts w:hint="eastAsia" w:ascii="微软雅黑" w:hAnsi="微软雅黑" w:eastAsia="微软雅黑"/>
          <w:sz w:val="24"/>
          <w:szCs w:val="24"/>
        </w:rPr>
        <w:t>）</w:t>
      </w:r>
      <w:r>
        <w:rPr>
          <w:rFonts w:ascii="微软雅黑" w:hAnsi="微软雅黑" w:eastAsia="微软雅黑"/>
          <w:sz w:val="24"/>
          <w:szCs w:val="24"/>
        </w:rPr>
        <w:t>操作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p>
      <w:pPr>
        <w:pStyle w:val="3"/>
      </w:pPr>
      <w:bookmarkStart w:id="15" w:name="_Toc517876517"/>
      <w:r>
        <w:t>五</w:t>
      </w:r>
      <w:r>
        <w:rPr>
          <w:rFonts w:hint="eastAsia"/>
        </w:rPr>
        <w:t>、绑定工程中心</w:t>
      </w:r>
      <w:bookmarkEnd w:id="15"/>
    </w:p>
    <w:p>
      <w:pPr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ascii="微软雅黑" w:hAnsi="微软雅黑" w:eastAsia="微软雅黑"/>
          <w:color w:val="FF0000"/>
          <w:sz w:val="24"/>
          <w:szCs w:val="24"/>
        </w:rPr>
        <w:t>注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：一个账号只能绑定一个工程中心，若账号已绑定工程中心，请联系依托单位分配二级单位账号，由二级单位账号进行绑定。</w:t>
      </w:r>
    </w:p>
    <w:p>
      <w:pPr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ascii="微软雅黑" w:hAnsi="微软雅黑" w:eastAsia="微软雅黑"/>
          <w:color w:val="FF0000"/>
          <w:sz w:val="24"/>
          <w:szCs w:val="24"/>
        </w:rPr>
        <w:t>分配二级单位账号说明书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：（</w:t>
      </w:r>
      <w:r>
        <w:fldChar w:fldCharType="begin"/>
      </w:r>
      <w:r>
        <w:instrText xml:space="preserve"> HYPERLINK "http://cloud.sdstc.gov.cn/bzzx/1562.jhtml" </w:instrText>
      </w:r>
      <w:r>
        <w:fldChar w:fldCharType="separate"/>
      </w:r>
      <w:r>
        <w:rPr>
          <w:rStyle w:val="10"/>
          <w:rFonts w:ascii="微软雅黑" w:hAnsi="微软雅黑" w:eastAsia="微软雅黑"/>
          <w:color w:val="FF0000"/>
          <w:sz w:val="24"/>
          <w:szCs w:val="24"/>
        </w:rPr>
        <w:t>http://cloud.sdstc.gov.cn/bzzx/1562.jhtml</w:t>
      </w:r>
      <w:r>
        <w:rPr>
          <w:rStyle w:val="10"/>
          <w:rFonts w:ascii="微软雅黑" w:hAnsi="微软雅黑" w:eastAsia="微软雅黑"/>
          <w:color w:val="FF0000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）</w:t>
      </w:r>
    </w:p>
    <w:p>
      <w:pPr>
        <w:pStyle w:val="5"/>
      </w:pPr>
      <w:r>
        <w:rPr>
          <w:rFonts w:hint="eastAsia"/>
        </w:rPr>
        <w:t>5.1已绑定工程中心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如图：若您已经绑定工程中心请直接进行第六步（工程中心绩效填报）操作</w:t>
      </w:r>
    </w:p>
    <w:p>
      <w:pPr>
        <w:pStyle w:val="5"/>
      </w:pPr>
      <w:r>
        <w:drawing>
          <wp:inline distT="0" distB="0" distL="0" distR="0">
            <wp:extent cx="5274310" cy="2460625"/>
            <wp:effectExtent l="0" t="0" r="254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5.2未绑定工程中心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绑定步骤</w:t>
      </w:r>
      <w:r>
        <w:rPr>
          <w:rFonts w:hint="eastAsia" w:ascii="微软雅黑" w:hAnsi="微软雅黑" w:eastAsia="微软雅黑"/>
          <w:sz w:val="24"/>
          <w:szCs w:val="24"/>
        </w:rPr>
        <w:t>：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登陆</w:t>
      </w:r>
      <w:r>
        <w:rPr>
          <w:rFonts w:hint="eastAsia" w:ascii="微软雅黑" w:hAnsi="微软雅黑" w:eastAsia="微软雅黑"/>
          <w:sz w:val="24"/>
          <w:szCs w:val="24"/>
        </w:rPr>
        <w:t>“山东省工程技术研究中心管理系统”点击“我的填报”——》 “绑定工程中心”进行绑定。</w:t>
      </w:r>
    </w:p>
    <w:p>
      <w:r>
        <w:drawing>
          <wp:inline distT="0" distB="0" distL="0" distR="0">
            <wp:extent cx="5274310" cy="24714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82215"/>
            <wp:effectExtent l="0" t="0" r="2540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绑定</w:t>
      </w:r>
      <w:r>
        <w:rPr>
          <w:rFonts w:ascii="微软雅黑" w:hAnsi="微软雅黑" w:eastAsia="微软雅黑"/>
          <w:sz w:val="24"/>
          <w:szCs w:val="24"/>
        </w:rPr>
        <w:t>成功之后点击</w:t>
      </w:r>
      <w:r>
        <w:rPr>
          <w:rFonts w:hint="eastAsia" w:ascii="微软雅黑" w:hAnsi="微软雅黑" w:eastAsia="微软雅黑"/>
          <w:sz w:val="24"/>
          <w:szCs w:val="24"/>
        </w:rPr>
        <w:t>“点击进入绩效评估”</w:t>
      </w:r>
      <w:r>
        <w:rPr>
          <w:rFonts w:ascii="微软雅黑" w:hAnsi="微软雅黑" w:eastAsia="微软雅黑"/>
          <w:sz w:val="24"/>
          <w:szCs w:val="24"/>
        </w:rPr>
        <w:t>—</w:t>
      </w:r>
      <w:r>
        <w:rPr>
          <w:rFonts w:hint="eastAsia" w:ascii="微软雅黑" w:hAnsi="微软雅黑" w:eastAsia="微软雅黑"/>
          <w:sz w:val="24"/>
          <w:szCs w:val="24"/>
        </w:rPr>
        <w:t>》“开始填报”即可开始工程中心绩效报告填报工作。如下图：</w:t>
      </w:r>
    </w:p>
    <w:p>
      <w:r>
        <w:drawing>
          <wp:inline distT="0" distB="0" distL="0" distR="0">
            <wp:extent cx="5274310" cy="2480945"/>
            <wp:effectExtent l="0" t="0" r="2540" b="146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7142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517876518"/>
      <w:bookmarkStart w:id="17" w:name="_Toc517802298"/>
      <w:r>
        <w:rPr>
          <w:rFonts w:hint="eastAsia"/>
        </w:rPr>
        <w:t>六、</w:t>
      </w:r>
      <w:r>
        <w:t>工程中心绩效填报</w:t>
      </w:r>
      <w:bookmarkEnd w:id="16"/>
      <w:bookmarkEnd w:id="17"/>
    </w:p>
    <w:p>
      <w:pPr>
        <w:pStyle w:val="5"/>
      </w:pPr>
      <w:bookmarkStart w:id="18" w:name="_Toc517876519"/>
      <w:r>
        <w:rPr>
          <w:rFonts w:hint="eastAsia"/>
        </w:rPr>
        <w:t>1.1.基本情况</w:t>
      </w:r>
      <w:bookmarkEnd w:id="18"/>
    </w:p>
    <w:p>
      <w:r>
        <w:drawing>
          <wp:inline distT="0" distB="0" distL="0" distR="0">
            <wp:extent cx="5274310" cy="245110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单位用户根据填写说明完成信息填写</w:t>
      </w:r>
      <w:r>
        <w:rPr>
          <w:rFonts w:hint="eastAsia" w:ascii="微软雅黑" w:hAnsi="微软雅黑" w:eastAsia="微软雅黑"/>
          <w:sz w:val="24"/>
          <w:szCs w:val="24"/>
        </w:rPr>
        <w:t>，并点击“保存并填写下一项”完成保存。</w:t>
      </w:r>
    </w:p>
    <w:p>
      <w:pPr>
        <w:pStyle w:val="5"/>
      </w:pPr>
      <w:bookmarkStart w:id="19" w:name="_Toc517876520"/>
      <w:r>
        <w:rPr>
          <w:rFonts w:hint="eastAsia"/>
        </w:rPr>
        <w:t>1.2</w:t>
      </w:r>
      <w:r>
        <w:t>.</w:t>
      </w:r>
      <w:r>
        <w:rPr>
          <w:rFonts w:hint="eastAsia"/>
        </w:rPr>
        <w:t>研究方向与条件</w:t>
      </w:r>
      <w:bookmarkEnd w:id="19"/>
    </w:p>
    <w:p>
      <w:r>
        <w:drawing>
          <wp:inline distT="0" distB="0" distL="0" distR="0">
            <wp:extent cx="5274310" cy="2482850"/>
            <wp:effectExtent l="0" t="0" r="254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单位用户根据填写说明完成信息填写</w:t>
      </w:r>
      <w:r>
        <w:rPr>
          <w:rFonts w:hint="eastAsia" w:ascii="微软雅黑" w:hAnsi="微软雅黑" w:eastAsia="微软雅黑"/>
          <w:sz w:val="24"/>
          <w:szCs w:val="24"/>
        </w:rPr>
        <w:t>，并点击“保存并填写下一项”完成保存。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证明材料：当设备原值超过限额时需上传证明材料。不提示蓝色字体“上传证明材料” 时为不需要上传证明材料。</w:t>
      </w:r>
    </w:p>
    <w:p>
      <w:r>
        <w:drawing>
          <wp:inline distT="0" distB="0" distL="0" distR="0">
            <wp:extent cx="5274310" cy="2462530"/>
            <wp:effectExtent l="0" t="0" r="254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注：下载的模板不允许做任何修改，若在模板上粘贴数据请确保数据没有任何格式，否则会导致数据上传错误或者无法保存。</w:t>
      </w:r>
    </w:p>
    <w:p>
      <w:pPr>
        <w:pStyle w:val="5"/>
      </w:pPr>
      <w:bookmarkStart w:id="20" w:name="_Toc517876521"/>
      <w:r>
        <w:rPr>
          <w:rFonts w:hint="eastAsia"/>
        </w:rPr>
        <w:t>1.3</w:t>
      </w:r>
      <w:r>
        <w:t>.团队建设与人才培育</w:t>
      </w:r>
      <w:bookmarkEnd w:id="20"/>
    </w:p>
    <w:p>
      <w:r>
        <w:drawing>
          <wp:inline distT="0" distB="0" distL="0" distR="0">
            <wp:extent cx="5274310" cy="233553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单位用户根据填写说明完成信息填写</w:t>
      </w:r>
      <w:r>
        <w:rPr>
          <w:rFonts w:hint="eastAsia" w:ascii="微软雅黑" w:hAnsi="微软雅黑" w:eastAsia="微软雅黑"/>
          <w:sz w:val="24"/>
          <w:szCs w:val="24"/>
        </w:rPr>
        <w:t>，并点击“保存并填写下一项”完成保存。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注</w:t>
      </w:r>
      <w:r>
        <w:rPr>
          <w:rFonts w:hint="eastAsia" w:ascii="微软雅黑" w:hAnsi="微软雅黑" w:eastAsia="微软雅黑"/>
          <w:sz w:val="24"/>
          <w:szCs w:val="24"/>
        </w:rPr>
        <w:t>：</w:t>
      </w:r>
      <w:r>
        <w:rPr>
          <w:rFonts w:ascii="微软雅黑" w:hAnsi="微软雅黑" w:eastAsia="微软雅黑"/>
          <w:sz w:val="24"/>
          <w:szCs w:val="24"/>
        </w:rPr>
        <w:t>人才称号</w:t>
      </w:r>
      <w:r>
        <w:rPr>
          <w:rFonts w:hint="eastAsia" w:ascii="微软雅黑" w:hAnsi="微软雅黑" w:eastAsia="微软雅黑"/>
          <w:sz w:val="24"/>
          <w:szCs w:val="24"/>
        </w:rPr>
        <w:t>、科技成果奖励均为可多选。</w:t>
      </w:r>
    </w:p>
    <w:p>
      <w:pPr>
        <w:pStyle w:val="5"/>
      </w:pPr>
      <w:bookmarkStart w:id="21" w:name="_Toc517876522"/>
      <w:r>
        <w:rPr>
          <w:rFonts w:hint="eastAsia"/>
        </w:rPr>
        <w:t>1.4.研发产出及成效</w:t>
      </w:r>
      <w:bookmarkEnd w:id="21"/>
    </w:p>
    <w:p>
      <w:r>
        <w:drawing>
          <wp:inline distT="0" distB="0" distL="0" distR="0">
            <wp:extent cx="5274310" cy="24714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单位用户根据填写说明完成信息填写</w:t>
      </w:r>
      <w:r>
        <w:rPr>
          <w:rFonts w:hint="eastAsia" w:ascii="微软雅黑" w:hAnsi="微软雅黑" w:eastAsia="微软雅黑"/>
          <w:sz w:val="24"/>
          <w:szCs w:val="24"/>
        </w:rPr>
        <w:t>，并点击“保存并填写下一项”完成保存。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注：获奖情况—》 “奖种”为可多选。</w:t>
      </w:r>
    </w:p>
    <w:p>
      <w:pPr>
        <w:pStyle w:val="5"/>
      </w:pPr>
      <w:bookmarkStart w:id="22" w:name="_Toc517876523"/>
      <w:r>
        <w:rPr>
          <w:rFonts w:hint="eastAsia"/>
        </w:rPr>
        <w:t>1.5.开放交流</w:t>
      </w:r>
      <w:bookmarkEnd w:id="22"/>
    </w:p>
    <w:p>
      <w:r>
        <w:drawing>
          <wp:inline distT="0" distB="0" distL="0" distR="0">
            <wp:extent cx="5274310" cy="2463165"/>
            <wp:effectExtent l="0" t="0" r="2540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单位用户根据填写说明完成信息填写</w:t>
      </w:r>
      <w:r>
        <w:rPr>
          <w:rFonts w:hint="eastAsia" w:ascii="微软雅黑" w:hAnsi="微软雅黑" w:eastAsia="微软雅黑"/>
          <w:sz w:val="24"/>
          <w:szCs w:val="24"/>
        </w:rPr>
        <w:t>，并点击“保存并填写下一项”完成保存。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注：下载的模板不允许做任何修改，请按照模板要求正常填写模板。</w:t>
      </w:r>
    </w:p>
    <w:p>
      <w:pPr>
        <w:pStyle w:val="5"/>
      </w:pPr>
      <w:bookmarkStart w:id="23" w:name="_Toc517876524"/>
      <w:r>
        <w:rPr>
          <w:rFonts w:hint="eastAsia"/>
        </w:rPr>
        <w:t>1.6</w:t>
      </w:r>
      <w:r>
        <w:t>.产学研合作情况</w:t>
      </w:r>
      <w:bookmarkEnd w:id="23"/>
    </w:p>
    <w:p>
      <w:r>
        <w:drawing>
          <wp:inline distT="0" distB="0" distL="0" distR="0">
            <wp:extent cx="5274310" cy="2465705"/>
            <wp:effectExtent l="0" t="0" r="254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单位用户根据填写说明完成信息填写</w:t>
      </w:r>
      <w:r>
        <w:rPr>
          <w:rFonts w:hint="eastAsia" w:ascii="微软雅黑" w:hAnsi="微软雅黑" w:eastAsia="微软雅黑"/>
          <w:sz w:val="24"/>
          <w:szCs w:val="24"/>
        </w:rPr>
        <w:t>，并点击“保存并填写下一项”完成保存。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注：下载的模板不允许做任何修改，请按照模板要求正常填写模板。</w:t>
      </w:r>
    </w:p>
    <w:p>
      <w:pPr>
        <w:pStyle w:val="5"/>
      </w:pPr>
      <w:bookmarkStart w:id="24" w:name="_Toc517876525"/>
      <w:r>
        <w:rPr>
          <w:rFonts w:hint="eastAsia"/>
        </w:rPr>
        <w:t>1.7</w:t>
      </w:r>
      <w:r>
        <w:t>.</w:t>
      </w:r>
      <w:r>
        <w:rPr>
          <w:rFonts w:hint="eastAsia"/>
        </w:rPr>
        <w:t>运行管理</w:t>
      </w:r>
      <w:bookmarkEnd w:id="24"/>
    </w:p>
    <w:p>
      <w:r>
        <w:drawing>
          <wp:inline distT="0" distB="0" distL="0" distR="0">
            <wp:extent cx="5274310" cy="2477135"/>
            <wp:effectExtent l="0" t="0" r="2540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单位用户根据填写说明完成信息填写</w:t>
      </w:r>
      <w:r>
        <w:rPr>
          <w:rFonts w:hint="eastAsia" w:ascii="微软雅黑" w:hAnsi="微软雅黑" w:eastAsia="微软雅黑"/>
          <w:sz w:val="24"/>
          <w:szCs w:val="24"/>
        </w:rPr>
        <w:t>，并点击“保存并填写下一项”完成保存。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注：下载的模板不允许做任何修改，请按照模板要求正常填写模板。</w:t>
      </w:r>
    </w:p>
    <w:p>
      <w:pPr>
        <w:pStyle w:val="5"/>
      </w:pPr>
      <w:bookmarkStart w:id="25" w:name="_Toc517876526"/>
      <w:r>
        <w:rPr>
          <w:rFonts w:hint="eastAsia"/>
        </w:rPr>
        <w:t>1.8.修改、预览、提交</w:t>
      </w:r>
      <w:bookmarkEnd w:id="25"/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在填写并保存完山东省工程技术研究中心绩效模板之后会跳转</w:t>
      </w:r>
      <w:r>
        <w:rPr>
          <w:rFonts w:hint="eastAsia" w:ascii="微软雅黑" w:hAnsi="微软雅黑" w:eastAsia="微软雅黑"/>
          <w:sz w:val="24"/>
          <w:szCs w:val="24"/>
        </w:rPr>
        <w:t>到</w:t>
      </w:r>
      <w:r>
        <w:rPr>
          <w:rFonts w:ascii="微软雅黑" w:hAnsi="微软雅黑" w:eastAsia="微软雅黑"/>
          <w:sz w:val="24"/>
          <w:szCs w:val="24"/>
        </w:rPr>
        <w:t>工程技术研究中心绩效报告列表</w:t>
      </w:r>
      <w:r>
        <w:rPr>
          <w:rFonts w:hint="eastAsia" w:ascii="微软雅黑" w:hAnsi="微软雅黑" w:eastAsia="微软雅黑"/>
          <w:sz w:val="24"/>
          <w:szCs w:val="24"/>
        </w:rPr>
        <w:t>。如图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46761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4"/>
          <w:szCs w:val="24"/>
        </w:rPr>
        <w:t>修改</w:t>
      </w:r>
      <w:r>
        <w:rPr>
          <w:rFonts w:hint="eastAsia" w:ascii="微软雅黑" w:hAnsi="微软雅黑" w:eastAsia="微软雅黑"/>
          <w:sz w:val="24"/>
          <w:szCs w:val="24"/>
        </w:rPr>
        <w:t>：</w:t>
      </w:r>
      <w:r>
        <w:rPr>
          <w:rFonts w:ascii="微软雅黑" w:hAnsi="微软雅黑" w:eastAsia="微软雅黑"/>
          <w:sz w:val="24"/>
          <w:szCs w:val="24"/>
        </w:rPr>
        <w:t>在保存完绩效报告且没有提交的情况下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点击修改可进行修改绩效报告信息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提交</w:t>
      </w:r>
      <w:r>
        <w:rPr>
          <w:rFonts w:hint="eastAsia" w:ascii="微软雅黑" w:hAnsi="微软雅黑" w:eastAsia="微软雅黑"/>
          <w:sz w:val="24"/>
          <w:szCs w:val="24"/>
        </w:rPr>
        <w:t>：点击提</w:t>
      </w:r>
      <w:bookmarkStart w:id="26" w:name="_GoBack"/>
      <w:r>
        <w:rPr>
          <w:rFonts w:hint="eastAsia" w:ascii="微软雅黑" w:hAnsi="微软雅黑" w:eastAsia="微软雅黑"/>
          <w:sz w:val="24"/>
          <w:szCs w:val="24"/>
        </w:rPr>
        <w:t>交按钮即可提</w:t>
      </w:r>
      <w:bookmarkEnd w:id="26"/>
      <w:r>
        <w:rPr>
          <w:rFonts w:hint="eastAsia" w:ascii="微软雅黑" w:hAnsi="微软雅黑" w:eastAsia="微软雅黑"/>
          <w:sz w:val="24"/>
          <w:szCs w:val="24"/>
        </w:rPr>
        <w:t>交到上级，由上级对您的绩效报告进行审批。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预览</w:t>
      </w:r>
      <w:r>
        <w:rPr>
          <w:rFonts w:hint="eastAsia" w:ascii="微软雅黑" w:hAnsi="微软雅黑" w:eastAsia="微软雅黑"/>
          <w:sz w:val="24"/>
          <w:szCs w:val="24"/>
        </w:rPr>
        <w:t>：</w:t>
      </w:r>
      <w:r>
        <w:rPr>
          <w:rFonts w:ascii="微软雅黑" w:hAnsi="微软雅黑" w:eastAsia="微软雅黑"/>
          <w:sz w:val="24"/>
          <w:szCs w:val="24"/>
        </w:rPr>
        <w:t>点击预览按钮可在线查看绩效报告填写的内容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也可由此下载或者打印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p>
      <w:pPr>
        <w:jc w:val="center"/>
      </w:pPr>
    </w:p>
    <w:p/>
    <w:sectPr>
      <w:pgSz w:w="11906" w:h="16838"/>
      <w:pgMar w:top="1701" w:right="1531" w:bottom="170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6C6D8C"/>
    <w:rsid w:val="296C6D8C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9">
    <w:name w:val="Default Paragraph Font"/>
    <w:semiHidden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8">
    <w:name w:val="toc 2"/>
    <w:basedOn w:val="1"/>
    <w:next w:val="1"/>
    <w:unhideWhenUsed/>
    <w:qFormat/>
    <w:uiPriority w:val="39"/>
    <w:pPr>
      <w:tabs>
        <w:tab w:val="right" w:leader="dot" w:pos="8296"/>
      </w:tabs>
      <w:ind w:left="420" w:leftChars="200"/>
      <w:jc w:val="center"/>
    </w:pPr>
    <w:rPr>
      <w:rFonts w:ascii="微软雅黑" w:hAnsi="微软雅黑" w:eastAsia="微软雅黑"/>
      <w:b/>
      <w:sz w:val="32"/>
      <w:szCs w:val="24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2018-07-27T07:47:00Z</dcterms:created>
  <dc:creator>董天</dc:creator>
  <cp:lastModifiedBy>董天</cp:lastModifiedBy>
  <dcterms:modified xsi:type="dcterms:W3CDTF">2018-07-27T07:50:46Z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