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jc w:val="center"/>
        <w:rPr>
          <w:rFonts w:hint="eastAsia"/>
          <w:color w:val="333333"/>
          <w:sz w:val="18"/>
          <w:szCs w:val="18"/>
        </w:rPr>
      </w:pPr>
      <w:r>
        <w:rPr>
          <w:rFonts w:ascii="黑体" w:eastAsia="黑体" w:hint="eastAsia"/>
          <w:color w:val="000000"/>
          <w:sz w:val="44"/>
          <w:szCs w:val="44"/>
        </w:rPr>
        <w:t>山东省中小企业局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jc w:val="center"/>
        <w:rPr>
          <w:rFonts w:hint="eastAsia"/>
          <w:color w:val="333333"/>
          <w:sz w:val="18"/>
          <w:szCs w:val="18"/>
        </w:rPr>
      </w:pPr>
      <w:r>
        <w:rPr>
          <w:rFonts w:ascii="黑体" w:eastAsia="黑体" w:hint="eastAsia"/>
          <w:color w:val="000000"/>
          <w:sz w:val="44"/>
          <w:szCs w:val="44"/>
        </w:rPr>
        <w:t>关于推进中小企业创业兴业工作的意见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鲁中小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企局字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[2015]41号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各市中小企业局(办)、有关单位：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“大众创业，万众创新”是培育经济发展新引擎的重大战略举措。中央和省委省政府高度重视中小企业发展，我省创业兴业面临重大机遇。为进一步推进全省中小企业创业兴业工作，现提出以下意见。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一、指导思想、基本原则和主要目标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)指导思想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认真贯彻落实十八大和十八届三中、四中全会精神，按照中央和省委省政府部署，以“大众创业，万众创新”为指导，以培育和发展中小企业为重点，在全社会营造创业兴业浓厚氛围，激发广大群众创新活力，强化政府引导，建立协同推进机制，加快创业服务平台建设，推进创业载体和辅导队伍建设，强化财税扶持，催生扶持小微企业，推动中小企业创新驱动转型升级，形成经济发展新动力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(二)基本原则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坚持激发全社会创业兴业激情。调动各个方面的积极性创造性，尊重群众首创精神，引导广大创业者打破传统束缚和限制，大胆探索创业方式，让全社会创业兴业的激情迸发，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让创业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创新蔚然成风，遍地开花。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坚持协同联动推进创业工作。坚持政府引导，充分发挥省促进中小企业发展领导小组成员单位和各部门职能优势，强化沟通协调，在简政放权、商事改革、土地供应、税费减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免、人才培育、财政投入、金融支持等方面，优化政策环境，释放民智民力。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坚持创业资源的整合优化。结合区域经济发展战略和转型升级的要求，充分利用现有工业园区、高新技术开发区、大学科技园区和城市中闲置楼宇、校舍、厂房、仓库等资源，科学规划，合理布局，新建或改造标准厂房和配套设施，建立一批创业基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和创客空间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坚持创建新型服务体系。因地制宜，分类指导，转变政府指导方式，加大政府购买服务力度，探索公益服务方式，健全政府支持创业平台、平台服务企业、企业创新发展的机制。建立服务特色突出、服务功能健全、服务方式现代化的创业服务体系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坚持宣传示范带动创业兴业。加强创业舆论宣传，落实国家和省政府支持创业兴业政策，推广创业典型经验，让每个创业者有荣誉和尊严。完善标准体系，树立创业标杆，建设创业文化，营造创业新风尚。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(三)目标任务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到2020年，全省中小企业户数达到200万户，万人拥有中小企业户数达到先进水平。建成800家基础设施完善、服务标准规范、服务功能健全、服务质量上乘的省市级小企业创业基地和“创客空间”，小企业孵化成功率达到80%以上。培育国家创业示范基地20家。培育“专精特新”企业达到5000家，培育“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技术”企业达到6000家。全省每年创业培训不少于200场，培训各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人员2万人。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二、积极拓宽创业创新领域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(四)激活各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主体和资源。支持具有本领的人率先创业;支持大专院校、科研院所和文化艺术专业人员大胆创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业;支持大学生自主创业;支持城镇下岗失业人员、农民工回乡“草根”创业;支持孵化成功的企业“脱壳”再创业。打造有觉悟、有素质、有能力、有事业心的创业队伍，使创业兴业成为全社会共同的价值追求。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五)拓展中小企业创业兴业领域。按照“法无禁止即可为”的原则，营造宽松便捷的准入环境。引导鼓励各类创业者围绕工业、农业、现代服务业，发展科技型、资源综合利用型、劳动密集型、农副产品加工型、贸易促进型、社区服务型、建筑劳务型、信息服务型等产业行业。鼓励各类创业者进入文化、旅游、教育、科研、医疗、技术、体育、仓储、物流、金融、电商等社会事业和生产生活服务业。鼓励支持各类创业者通过参股、联合、并购、独资等方式参与国企改革和公益性项目建设，实现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主体平等竞争，共同发展。不拘形式、不拘类型，宜工则工，宜农则农，宜商则商，形成多业并举，大中小并举，城镇乡村“铺天盖地”新格局。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六)推动互联网电子商务创业。把互联网创业作为创业的新热点，将发展电子商务创业纳入中小企业发展规划。建设电子商务创业园区，发展电子商务村、镇和街道社区。增加电子商务技能培训项目，鼓励有条件的职业院校、社会培训机构和电子商务企业开展网络创业培训。支持中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软件创业、网络创业，跨界创业，发展仓储物流配送设施建设，实现“仓储配一体化”服务。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七)大力发展科技服务业。贯彻落实省政府关于加快科技服务业发展的实施意见(鲁政发[2015]13号)，围绕“两区一圈一带”发展战略，引导创业者发展研究开发、技术转移、检验检测、知识产权、科技咨询、科技融资、科学普及等创新链条的新兴业态，促进科技服务业的社会化、专业化。培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育科技服务市场主体，探索科技服务模式，建立健全科技服务体系，为引领中小企业技术创新、产业升级提供支撑和保障。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三、加快创业创新载体建设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(八)完善小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创业基地。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1、加快创业场地建设。为小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提供标准厂房、孵育空间和服务场所，包括道路、水电气、消防、通信、网络、环保、绿化等完善的配套基础设施。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2、完善公共服务设施。为小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提供公共服务相关设施和设备，包括办事大厅、会议室、培训教室、实验室、产品展示场所等办公及生活设施等。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3、加强管理制度建设。健全创业基地管理团队和人才队伍，诚信守法经营，健全管理制度，规范服务流程、合理收费标准，制定为小型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提供公益性服务或低收费服务的优惠规定和明确的发展规划、年度服务目标。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(九)提升创业基地服务功能。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创业基地要为小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提供生产经营场地，仓储物流、物业保障、创业辅导、信息咨询、政府协调、投资融资、人员培训、技术支持、市场营销、管理咨询、政务代理、财会法律等服务。帮助解决各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难题，提升服务质量和水平。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(十)建设高端高效创业基地。创业基地是集聚各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服务资源，为创办小企业提供有效服务的载体。把政府引导与社会投资相结合，扩大规模与规范提升相结合，健全功能与完善服务相结合，扩大规模，提档升级，积极争取国家示范试点城市。全省每年建设60家高质量的省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级创业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基地。积极配合协调科技、人社、教育、商务等有关部门，依托现有工业园区、高新区、经济开发区，在体制、机制、技术、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服务、土地等方面的资源优势，建设高端创业基地;充分利用城乡闲置楼宇、厂房、商场、仓库等设施改造为创业基地，盘活存量资源，腾笼换鸟;围绕产业集群，特色产业镇建设创业基地，拓宽和拉长产业链，增强创业基地的产业特色和地域特色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(十一)积极创建省级创业基地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达到下述条件的，经验收考核，授予省级创业基地称号。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1、市级中小企业主管部门认定的创业(示范)基地。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2、入驻小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50家以上，从业人员1000人以上，建筑面积在1万平方米以上，小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数占入驻企业总数的80%以上。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3、运营主体具有独立法人资格，经营和信用状况良好;具有健全的管理制度，完整的创业服务流程、收费标准和服务质量保证措施;具有明确的发展规划、年度目标和实施方案。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4、从事创业服务的人员不少于10人，创业辅导师不少于3人。为小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提供的公益性服务或低收费服务占到总服务量的20%以上。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(十二)加快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构建众创空间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推广创客空间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、创业咖啡、创新工场等新型孵化模式，发挥行业领军企业，创业投资机构、社会组织等社会力量主力军作用，按照市场化、专业化、集成化、网络化的要求，建设一批低成本、便利化、全要素、开放式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的众创空间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。每年认定省市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级创客空间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50家。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(十三)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的服务功能和建设条件。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具有集工作、社交、网络和资源共享的场地空间。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创客进入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门槛低、创业成本小，具有公益性。具有创业与创新、线上线下、孵化与投资相结合的服务功能模式。专业化平台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应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具备创客所需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不同专业的实验室、工作室、加工室和装备设施。配备相应的服务机构和人员，组织创业创新活动，具有聚集影响力。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四、强化创业兴业服务体系建设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四)加强公共服务平台建设。完善县级公共服务平台设施，健全功能，延伸服务。加强国家、省、市公共服务平台联动，整合服务资源，增加创业创新信息量。推行在线服务、订制服务、专项服务和跟踪服务等，把创业服务延伸到社区和村镇，扩大创业服务受众面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五)发挥行业协会商会的作用。充分发挥协会商会和各类社会组织的作用，通过政府采购、委托和奖励等形式，为创业者提供市场信息、技术、知识产权保护、技能培训、商务考察、行业指导、维护权益等专业技术服务。指导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融资引资、商贸洽谈、项目开发、产品营销，提高创业者素质，增强创业者技能。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(十六)强化咨询辅导队伍建设。围绕提供策划、咨询、法律、财务、税收、营销、人力资源、技术支持等方面服务，为创业者献计献策，提高创业成功率。每年认定一批省市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级创业辅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导师。省管理咨询协会会员单位每年为1000家小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量身定制“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策”咨询方案。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七)共建一批创业创新学院。省中小企业局与教育主体合作，在全省范围内整合教育资源，共建“山东省创业创新学院”。学院以服务创业创新为宗旨，以培养高素质应用型、创业型、创新型人才为目标，提高创业者创业意识和能力。力争三年到五年每市共建1至2所创业创新学院。省、市、县三级主管部门按公共服务平台政策给予扶持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(十八)加强创业创新培训。充分利用社会各类培训资源，开展针对不同创业群体的专项培训，提高创业创新技能和知识产权、质量品牌意识。尊重各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创新群体的培训意愿，引导创业者自主选择培训项目、培训方式和培训机构。建立高水平、专兼职创业培训师资队伍，提升培训质量。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(十九)开展丰富多彩的展示活动。积极组织创业者参与创业创新大赛、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创客大赛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、创新成果和创业创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富项目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展示推介，以及创业大讲堂、创业沙龙、创业训练营等丰富多彩的创业创新活动。激发大众创业、万众创新活力，使“草根”创业得到社会充分认可。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五、推动创新驱动转型升级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(二十)实施“互联网+小微企业”行动计划。开发在线技术，发展在线产业。抓好中小企业信息化推进工程和两化融合，支持引导信息服务商通过云计算、大数据和移动互联网、物联网等信息技术，为小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财务管理、生产过程、采购营销、质量检验、人力资源、客户服务和物流等核心业务提供信息化应用服务。积极推广电子商务在小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中的应用，依托中小企业平台网络构建电子商务平台。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(二十一)发挥“中国制造2025”推动引领作用。引导中小企业围绕产业链布置创新链、围绕创新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链安排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资金链，加快关键核心技术攻关，提升产业层次和价值链。引导中小企业实施智能制造，根据用户个性化、定制化需求，对产品设计、生产过程和服务流程再设计，用信息化手段、自动化装备、智能化生产体系改造企业，提高智能化、网络化、数据化水平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(二十二)继续推进“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技术”创新工程。加大研发投入，聚集研发人才、提升研发水平，使众多中小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关键领域掌握独绝活和技术诀窍。不断提高原始创新、引进消化吸收再创新、集成创新协同创新能力。大力培育战略性新兴产业，提升产业层次。强化技术创新成果转化和知识产权保护，把技术优势转化为市场优势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三)加快培育“专精特新”企业。按照“生产专业化、工艺精细化、服务特色化、技术高新化”的要求，引导中小企业走“专精特新”发展路子，打造“隐形冠军”、“小型巨人”。支持中小企业在细分领域和专业市场上专注主营业务，增加技术含量，降低生产成本，提高生产效率，提升产品质量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六、加大创业兴业政策扶持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四)降低创业准入门槛。贯彻中央和省简政放权、审批事项改革等措施，配合有关部门推行审批事项目录清单、行政权力清单、政府责任清单、市场准入负面清单制度，清理前置审批事项，按照“先照后证”，简化注册资本登记，实施“三证合一”，营造创业兴业宽松环境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(二十五)落实税费减免政策。认真落实国家就业创业税收优惠政策和小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所得税减免政策。高校毕业生，登记失业人员等重点群体创办个体工商户、个人独资企业可依法享受税收减免政策。从事电子商务活动企业，经认定为高新技术企业的，依法享受高新技术企业相关优惠政策。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(二十六)加大财政购买服务。制订政府购买服务扶持中小企业的指导意见，支持小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辅基地、创业创新学院基础设施建设，支持创业兴业各项公共服务事项。中小企业主管部门要与财政部门加强沟通配合，编报年度预算，明确服务需求、服务内容、目标要求、服务标准和评估方式，建立新型公共服务工作机制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(二十七)加大投融资扶持力度。积极协助金融机构拓宽小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金融服务覆盖面，清理各类不合理金融服务收费。积极争取发行中小企业债券，开展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股权众筹融资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试点，支持中小企业担保再担保机构缓解融资贵问题。加强部门协调，落实小额担保贷款政策和小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创业创新基地城市示范政策，充分利用中央和省里“天使基金”等扶持政策，解决资金难的问题。千方百计加大财政专项资金扶持力度，扶持创业载体建设。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七、加强创业兴业协调指导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八)提高创业兴业的工作位置。创业兴业是新常态下一项长期的重大任务。要把推动创业兴业摆到各级中小企业主管部门的重要议事日程，科学谋化、精心组织、强化措施、狠抓落实，确保创业兴业工作持续有效地推进。深入调查研究，反映创业者的困难和呼声，及时帮助解决创业难题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十九)协同有关部门共同推动创业兴业。主动与省促进中小企业发展领导小组成员单位加强沟通、协调与合作，建立协同联动工作机制。主动组织开展活动，定期交流情况，通力合作，齐抓共管，形成促进创业兴业的巨大合力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三十)努力营造良好舆论环境。始终把宣传工作贯穿到创业兴业工作全过程，借助各种媒体资源，加强创业政策宣传，帮助创业者知晓、用好扶持政策。善于发现典型，总结经验，推出一批有代表性、示范性的创业成功企业，形成创业兴业典型群。宣传更多的创业人物和事迹，帮助广大创业者树立创业信心，增强创业意识，掌握创业技巧，提高创业能力。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460" w:lineRule="atLeast"/>
        <w:ind w:firstLine="482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                                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460" w:lineRule="atLeast"/>
        <w:ind w:firstLine="482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460" w:lineRule="atLeast"/>
        <w:ind w:firstLineChars="1750" w:firstLine="560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山东省中小企业局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460" w:lineRule="atLeast"/>
        <w:ind w:firstLine="482"/>
        <w:jc w:val="right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2015年7月27日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262C94" w:rsidRDefault="00262C94" w:rsidP="00262C94">
      <w:pPr>
        <w:pStyle w:val="p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333333"/>
          <w:sz w:val="18"/>
          <w:szCs w:val="18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A0449A" w:rsidRPr="00262C94" w:rsidRDefault="00A0449A"/>
    <w:sectPr w:rsidR="00A0449A" w:rsidRPr="00262C94" w:rsidSect="00A0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C94"/>
    <w:rsid w:val="00090896"/>
    <w:rsid w:val="000A7089"/>
    <w:rsid w:val="000E4C22"/>
    <w:rsid w:val="00107D88"/>
    <w:rsid w:val="001C326D"/>
    <w:rsid w:val="0024312F"/>
    <w:rsid w:val="00262C94"/>
    <w:rsid w:val="002C261E"/>
    <w:rsid w:val="0030318D"/>
    <w:rsid w:val="00343A2C"/>
    <w:rsid w:val="00460FE3"/>
    <w:rsid w:val="004F7910"/>
    <w:rsid w:val="004F79EB"/>
    <w:rsid w:val="00576CFA"/>
    <w:rsid w:val="005833A8"/>
    <w:rsid w:val="00605708"/>
    <w:rsid w:val="006B62A0"/>
    <w:rsid w:val="00751383"/>
    <w:rsid w:val="008339A7"/>
    <w:rsid w:val="008E7DE3"/>
    <w:rsid w:val="00A0449A"/>
    <w:rsid w:val="00A17E4A"/>
    <w:rsid w:val="00A55744"/>
    <w:rsid w:val="00AC1AC4"/>
    <w:rsid w:val="00AF7E47"/>
    <w:rsid w:val="00BC0098"/>
    <w:rsid w:val="00C41878"/>
    <w:rsid w:val="00C72FFE"/>
    <w:rsid w:val="00C750FA"/>
    <w:rsid w:val="00DA502C"/>
    <w:rsid w:val="00DD31D4"/>
    <w:rsid w:val="00DE34AA"/>
    <w:rsid w:val="00F2202D"/>
    <w:rsid w:val="00F926FE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62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851</Words>
  <Characters>4852</Characters>
  <Application>Microsoft Office Word</Application>
  <DocSecurity>0</DocSecurity>
  <Lines>40</Lines>
  <Paragraphs>11</Paragraphs>
  <ScaleCrop>false</ScaleCrop>
  <Company>KKKKKK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</dc:creator>
  <cp:lastModifiedBy>KKKK</cp:lastModifiedBy>
  <cp:revision>1</cp:revision>
  <dcterms:created xsi:type="dcterms:W3CDTF">2016-09-21T07:18:00Z</dcterms:created>
  <dcterms:modified xsi:type="dcterms:W3CDTF">2016-09-21T07:19:00Z</dcterms:modified>
</cp:coreProperties>
</file>