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楷体" w:hAnsi="楷体" w:eastAsia="楷体" w:cs="楷体"/>
          <w:sz w:val="44"/>
          <w:szCs w:val="44"/>
        </w:rPr>
      </w:pPr>
    </w:p>
    <w:p>
      <w:pPr>
        <w:spacing w:line="360" w:lineRule="auto"/>
        <w:jc w:val="center"/>
        <w:rPr>
          <w:rFonts w:ascii="楷体" w:hAnsi="楷体" w:eastAsia="楷体" w:cs="楷体"/>
          <w:sz w:val="44"/>
          <w:szCs w:val="44"/>
        </w:rPr>
      </w:pPr>
    </w:p>
    <w:p>
      <w:pPr>
        <w:spacing w:line="360" w:lineRule="auto"/>
        <w:jc w:val="center"/>
        <w:rPr>
          <w:rFonts w:ascii="楷体" w:hAnsi="楷体" w:eastAsia="楷体" w:cs="楷体"/>
          <w:sz w:val="44"/>
          <w:szCs w:val="44"/>
        </w:rPr>
      </w:pPr>
    </w:p>
    <w:p>
      <w:pPr>
        <w:spacing w:line="360" w:lineRule="auto"/>
        <w:jc w:val="center"/>
        <w:rPr>
          <w:rFonts w:ascii="黑体" w:hAnsi="黑体" w:eastAsia="黑体"/>
          <w:sz w:val="44"/>
          <w:szCs w:val="44"/>
        </w:rPr>
      </w:pPr>
      <w:r>
        <w:rPr>
          <w:rFonts w:hint="eastAsia" w:ascii="黑体" w:hAnsi="黑体" w:eastAsia="黑体"/>
          <w:sz w:val="44"/>
          <w:szCs w:val="44"/>
        </w:rPr>
        <w:t>制造业创新中心知识产权指南</w:t>
      </w:r>
    </w:p>
    <w:p>
      <w:pPr>
        <w:spacing w:line="360" w:lineRule="auto"/>
        <w:jc w:val="center"/>
        <w:rPr>
          <w:rFonts w:ascii="楷体" w:hAnsi="楷体" w:eastAsia="楷体" w:cs="楷体"/>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楷体" w:hAnsi="楷体" w:eastAsia="楷体" w:cs="楷体"/>
          <w:sz w:val="32"/>
          <w:szCs w:val="32"/>
        </w:rPr>
      </w:pPr>
      <w:r>
        <w:rPr>
          <w:rFonts w:hint="eastAsia" w:ascii="楷体" w:hAnsi="楷体" w:eastAsia="楷体" w:cs="楷体"/>
          <w:sz w:val="32"/>
          <w:szCs w:val="32"/>
        </w:rPr>
        <w:t>2016年10月</w:t>
      </w: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pStyle w:val="16"/>
        <w:tabs>
          <w:tab w:val="right" w:leader="dot" w:pos="8306"/>
        </w:tabs>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目 录</w:t>
      </w:r>
    </w:p>
    <w:p>
      <w:pPr>
        <w:rPr>
          <w:rFonts w:hint="eastAsia"/>
        </w:rPr>
      </w:pP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TOC \o "1-3" \h \u </w:instrText>
      </w:r>
      <w:r>
        <w:rPr>
          <w:rFonts w:hint="eastAsia" w:asciiTheme="minorEastAsia" w:hAnsiTheme="minorEastAsia" w:eastAsiaTheme="minorEastAsia" w:cstheme="minorEastAsia"/>
          <w:b/>
          <w:bCs/>
          <w:sz w:val="24"/>
          <w:szCs w:val="24"/>
        </w:rPr>
        <w:fldChar w:fldCharType="separate"/>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_Toc17196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1范围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_Toc17196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_Toc12519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2引用文件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_Toc12519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_Toc11585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3概念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_Toc20737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3.1知识产权</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_Toc20737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_Toc7945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3.2知识产权运用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_Toc7945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_Toc15881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3.3既有知识产权</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_Toc26356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4基本要求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_Toc26356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_Toc14046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4.1健全管理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_Toc14046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_Toc4559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4.2强化保护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_Toc24798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4.3转移转化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_Toc21562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4.4支撑服务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_Toc21562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_Toc6138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5框架与内容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_Toc6138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_Toc29932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5.1知识产权管理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_Toc29932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_Toc8305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5.2知识产权保护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_Toc8305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_Toc26117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5.3知识产权转移转化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_Toc26117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_Toc20307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val="0"/>
          <w:sz w:val="24"/>
          <w:szCs w:val="24"/>
        </w:rPr>
        <w:t>5.4知识产权支撑服务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_Toc20307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_Toc28155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6评价与改进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_Toc28155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4"/>
          <w:szCs w:val="24"/>
        </w:rPr>
        <w:fldChar w:fldCharType="end"/>
      </w:r>
    </w:p>
    <w:p>
      <w:pPr>
        <w:pStyle w:val="2"/>
        <w:jc w:val="cente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pStyle w:val="3"/>
        <w:keepNext/>
        <w:keepLines/>
        <w:pageBreakBefore w:val="0"/>
        <w:widowControl w:val="0"/>
        <w:kinsoku/>
        <w:wordWrap/>
        <w:overflowPunct/>
        <w:topLinePunct w:val="0"/>
        <w:autoSpaceDE/>
        <w:autoSpaceDN/>
        <w:bidi w:val="0"/>
        <w:adjustRightInd/>
        <w:snapToGrid/>
        <w:spacing w:before="313" w:beforeLines="100" w:after="313" w:afterLines="100" w:line="320" w:lineRule="exact"/>
        <w:ind w:left="0" w:leftChars="0" w:right="0" w:rightChars="0" w:firstLine="0" w:firstLineChars="0"/>
        <w:jc w:val="both"/>
        <w:textAlignment w:val="auto"/>
        <w:outlineLvl w:val="1"/>
        <w:rPr>
          <w:rFonts w:ascii="黑体" w:hAnsi="黑体"/>
          <w:b w:val="0"/>
          <w:bCs/>
          <w:sz w:val="28"/>
          <w:szCs w:val="28"/>
        </w:rPr>
      </w:pPr>
      <w:bookmarkStart w:id="0" w:name="_Toc5119"/>
      <w:bookmarkStart w:id="1" w:name="_Toc17196"/>
      <w:bookmarkStart w:id="2" w:name="_Toc32092"/>
      <w:bookmarkStart w:id="3" w:name="_Toc32141"/>
      <w:bookmarkStart w:id="4" w:name="_Toc18555"/>
      <w:bookmarkStart w:id="5" w:name="_Toc5059"/>
      <w:bookmarkStart w:id="6" w:name="_Toc18393"/>
      <w:bookmarkStart w:id="7" w:name="_Toc8332"/>
      <w:bookmarkStart w:id="8" w:name="_Toc29263"/>
      <w:bookmarkStart w:id="9" w:name="_Toc23757"/>
      <w:bookmarkStart w:id="10" w:name="_Toc10118"/>
      <w:r>
        <w:rPr>
          <w:rFonts w:hint="eastAsia" w:ascii="黑体" w:hAnsi="黑体"/>
          <w:b w:val="0"/>
          <w:bCs/>
          <w:sz w:val="32"/>
          <w:szCs w:val="32"/>
        </w:rPr>
        <w:t>1范围</w:t>
      </w:r>
      <w:bookmarkEnd w:id="0"/>
      <w:bookmarkEnd w:id="1"/>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s="宋体"/>
          <w:bCs/>
          <w:sz w:val="24"/>
          <w:szCs w:val="24"/>
        </w:rPr>
      </w:pPr>
      <w:r>
        <w:rPr>
          <w:rFonts w:hint="eastAsia" w:ascii="宋体" w:hAnsi="宋体" w:cs="宋体"/>
          <w:bCs/>
          <w:sz w:val="24"/>
          <w:szCs w:val="24"/>
        </w:rPr>
        <w:t>本指南规定了制造业创新中心(以下称中心)知识产权的规范管理、创造与保护、转移转化、支撑服务等基本要求，适用于国家制造业创新中心和省级制造业创新中心知识产权指导与评价。</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320" w:lineRule="exact"/>
        <w:ind w:left="0" w:leftChars="0" w:right="0" w:rightChars="0" w:firstLine="0" w:firstLineChars="0"/>
        <w:jc w:val="both"/>
        <w:textAlignment w:val="auto"/>
        <w:outlineLvl w:val="1"/>
        <w:rPr>
          <w:rFonts w:hint="eastAsia" w:ascii="黑体" w:hAnsi="黑体"/>
          <w:b w:val="0"/>
          <w:bCs/>
          <w:sz w:val="32"/>
          <w:szCs w:val="32"/>
        </w:rPr>
      </w:pPr>
      <w:bookmarkStart w:id="11" w:name="_Toc12519"/>
      <w:bookmarkStart w:id="12" w:name="_Toc6781"/>
      <w:bookmarkStart w:id="13" w:name="_Toc19225"/>
      <w:bookmarkStart w:id="14" w:name="_Toc3077"/>
      <w:bookmarkStart w:id="15" w:name="_Toc16492"/>
      <w:bookmarkStart w:id="16" w:name="_Toc26275"/>
      <w:bookmarkStart w:id="17" w:name="_Toc30657"/>
      <w:bookmarkStart w:id="18" w:name="_Toc17905"/>
      <w:bookmarkStart w:id="19" w:name="_Toc20612"/>
      <w:r>
        <w:rPr>
          <w:rFonts w:hint="eastAsia" w:ascii="黑体" w:hAnsi="黑体"/>
          <w:b w:val="0"/>
          <w:bCs/>
          <w:sz w:val="32"/>
          <w:szCs w:val="32"/>
        </w:rPr>
        <w:t>2引用文件</w:t>
      </w:r>
      <w:bookmarkEnd w:id="11"/>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本指南主要引用以下文件：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《中华人民共和国促进科技成果转化法》（2015年8月29日第十二届全国人民代表大会常务委员会第十六次会议修改）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《关于印发实施〈中华人民共和国促进科技成果转化法〉若干规定的通知》（国发[2016]16号）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《国家知识产权战略纲要》（国发〔2008〕18 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《中国制造2025》（国发〔2015〕28号）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《国务院关于新形势下加快知识产权强国建设的若干意见》（国发〔2015〕71号）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《企业知识产权管理规范》（GB/T 29490-2013）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《工业和信息化部关于完善制造业创新体系</w:t>
      </w:r>
      <w:r>
        <w:rPr>
          <w:rFonts w:hint="eastAsia" w:ascii="宋体" w:hAnsi="宋体" w:cs="宋体"/>
          <w:bCs/>
          <w:sz w:val="24"/>
          <w:szCs w:val="24"/>
          <w:lang w:val="en-US" w:eastAsia="zh-CN"/>
        </w:rPr>
        <w:t xml:space="preserve"> </w:t>
      </w:r>
      <w:r>
        <w:rPr>
          <w:rFonts w:hint="eastAsia" w:ascii="宋体" w:hAnsi="宋体" w:cs="宋体"/>
          <w:bCs/>
          <w:sz w:val="24"/>
          <w:szCs w:val="24"/>
        </w:rPr>
        <w:t>推进制造业创新中心建设的指导意见》（工信部科〔2016〕273号）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《制造业创新中心建设工程实施指南》（2016-2020 年）</w:t>
      </w:r>
    </w:p>
    <w:p>
      <w:pPr>
        <w:pStyle w:val="3"/>
        <w:keepNext/>
        <w:keepLines/>
        <w:pageBreakBefore w:val="0"/>
        <w:widowControl w:val="0"/>
        <w:tabs>
          <w:tab w:val="left" w:pos="5683"/>
        </w:tabs>
        <w:kinsoku/>
        <w:wordWrap/>
        <w:overflowPunct/>
        <w:topLinePunct w:val="0"/>
        <w:autoSpaceDE/>
        <w:autoSpaceDN/>
        <w:bidi w:val="0"/>
        <w:adjustRightInd/>
        <w:snapToGrid/>
        <w:spacing w:before="313" w:beforeLines="100" w:after="313" w:afterLines="100" w:line="320" w:lineRule="exact"/>
        <w:ind w:left="0" w:leftChars="0" w:right="0" w:rightChars="0" w:firstLine="0" w:firstLineChars="0"/>
        <w:jc w:val="both"/>
        <w:textAlignment w:val="auto"/>
        <w:outlineLvl w:val="1"/>
        <w:rPr>
          <w:rFonts w:ascii="黑体" w:hAnsi="黑体"/>
          <w:sz w:val="28"/>
          <w:szCs w:val="28"/>
        </w:rPr>
      </w:pPr>
      <w:bookmarkStart w:id="20" w:name="_Toc27033"/>
      <w:bookmarkStart w:id="21" w:name="_Toc6450"/>
      <w:bookmarkStart w:id="22" w:name="_Toc11585"/>
      <w:bookmarkStart w:id="23" w:name="_Toc25714"/>
      <w:bookmarkStart w:id="24" w:name="_Toc1491"/>
      <w:bookmarkStart w:id="25" w:name="_Toc20895"/>
      <w:bookmarkStart w:id="26" w:name="_Toc29954"/>
      <w:bookmarkStart w:id="27" w:name="_Toc2553"/>
      <w:bookmarkStart w:id="28" w:name="_Toc5991"/>
      <w:r>
        <w:rPr>
          <w:rFonts w:hint="eastAsia" w:ascii="黑体" w:hAnsi="黑体"/>
          <w:b w:val="0"/>
          <w:bCs/>
          <w:sz w:val="32"/>
          <w:szCs w:val="32"/>
        </w:rPr>
        <w:t>3概念</w:t>
      </w:r>
      <w:bookmarkEnd w:id="20"/>
      <w:bookmarkEnd w:id="21"/>
      <w:bookmarkEnd w:id="22"/>
      <w:bookmarkEnd w:id="23"/>
      <w:bookmarkEnd w:id="24"/>
      <w:bookmarkEnd w:id="25"/>
      <w:bookmarkEnd w:id="26"/>
      <w:bookmarkEnd w:id="27"/>
      <w:bookmarkEnd w:id="28"/>
      <w:r>
        <w:rPr>
          <w:rFonts w:hint="eastAsia" w:ascii="黑体" w:hAnsi="黑体"/>
          <w:sz w:val="28"/>
          <w:szCs w:val="28"/>
        </w:rPr>
        <w:tab/>
      </w:r>
    </w:p>
    <w:p>
      <w:pPr>
        <w:spacing w:line="320" w:lineRule="exact"/>
        <w:ind w:firstLine="420" w:firstLineChars="200"/>
        <w:rPr>
          <w:rFonts w:ascii="宋体" w:hAnsi="宋体" w:cs="宋体"/>
          <w:bCs/>
          <w:sz w:val="24"/>
          <w:szCs w:val="24"/>
        </w:rPr>
      </w:pPr>
      <w:r>
        <w:rPr>
          <w:rFonts w:hint="eastAsia" w:ascii="宋体" w:hAnsi="宋体" w:cs="宋体"/>
          <w:bCs/>
          <w:sz w:val="24"/>
          <w:szCs w:val="24"/>
        </w:rPr>
        <w:t>下列概念适用于本指南。</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ascii="黑体" w:hAnsi="黑体" w:eastAsia="黑体"/>
          <w:b w:val="0"/>
          <w:bCs/>
          <w:sz w:val="24"/>
          <w:szCs w:val="24"/>
        </w:rPr>
      </w:pPr>
      <w:bookmarkStart w:id="29" w:name="_Toc19707"/>
      <w:bookmarkStart w:id="30" w:name="_Toc7942"/>
      <w:bookmarkStart w:id="31" w:name="_Toc20737"/>
      <w:bookmarkStart w:id="32" w:name="_Toc21332"/>
      <w:bookmarkStart w:id="33" w:name="_Toc17224"/>
      <w:bookmarkStart w:id="34" w:name="_Toc6428"/>
      <w:bookmarkStart w:id="35" w:name="_Toc31503"/>
      <w:bookmarkStart w:id="36" w:name="_Toc13570"/>
      <w:bookmarkStart w:id="37" w:name="_Toc14812"/>
      <w:bookmarkStart w:id="38" w:name="_Toc17456"/>
      <w:bookmarkStart w:id="39" w:name="_Toc31082"/>
      <w:r>
        <w:rPr>
          <w:rFonts w:hint="eastAsia" w:ascii="黑体" w:hAnsi="黑体" w:eastAsia="黑体"/>
          <w:b w:val="0"/>
          <w:bCs/>
          <w:sz w:val="24"/>
          <w:szCs w:val="24"/>
        </w:rPr>
        <w:t>3.1知识产权</w:t>
      </w:r>
      <w:bookmarkEnd w:id="29"/>
      <w:bookmarkEnd w:id="30"/>
      <w:bookmarkEnd w:id="31"/>
      <w:bookmarkEnd w:id="32"/>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知识产权是指发明者、创造者等对自己的创造性劳动成果依法享有的专有权。本指南所指知识产权包括专利、商标、著作权及相关权、集成电路布图设计、商业秘密等。</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40" w:name="_Toc1243"/>
      <w:bookmarkStart w:id="41" w:name="_Toc18227"/>
      <w:bookmarkStart w:id="42" w:name="_Toc30479"/>
      <w:bookmarkStart w:id="43" w:name="_Toc8241"/>
      <w:bookmarkStart w:id="44" w:name="_Toc20405"/>
      <w:bookmarkStart w:id="45" w:name="_Toc26578"/>
      <w:bookmarkStart w:id="46" w:name="_Toc13694"/>
      <w:bookmarkStart w:id="47" w:name="_Toc2503"/>
      <w:bookmarkStart w:id="48" w:name="_Toc12327"/>
      <w:bookmarkStart w:id="49" w:name="_Toc29195"/>
      <w:bookmarkStart w:id="50" w:name="_Toc7945"/>
      <w:r>
        <w:rPr>
          <w:rFonts w:hint="eastAsia" w:ascii="黑体" w:hAnsi="黑体" w:eastAsia="黑体"/>
          <w:b w:val="0"/>
          <w:bCs/>
          <w:sz w:val="24"/>
          <w:szCs w:val="24"/>
        </w:rPr>
        <w:t>3.2知识产权运用</w:t>
      </w:r>
      <w:bookmarkEnd w:id="40"/>
      <w:bookmarkEnd w:id="41"/>
      <w:bookmarkEnd w:id="42"/>
      <w:bookmarkEnd w:id="43"/>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知识产权运用是指市场主体依法在技术开发、成果转移扩散、商业化应用和市场竞争等过程中有效利用知识产权制度，保护和激励创新，提升创新成果价值的活动。</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51" w:name="_Toc15881"/>
      <w:r>
        <w:rPr>
          <w:rFonts w:hint="eastAsia" w:ascii="黑体" w:hAnsi="黑体" w:eastAsia="黑体"/>
          <w:b w:val="0"/>
          <w:bCs/>
          <w:sz w:val="24"/>
          <w:szCs w:val="24"/>
        </w:rPr>
        <w:t>3.3既有知识产权</w:t>
      </w:r>
      <w:bookmarkEnd w:id="5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r>
        <w:rPr>
          <w:rFonts w:hint="eastAsia" w:ascii="宋体" w:hAnsi="宋体" w:cs="宋体"/>
          <w:bCs/>
          <w:szCs w:val="21"/>
        </w:rPr>
        <w:t xml:space="preserve">  </w:t>
      </w:r>
      <w:r>
        <w:rPr>
          <w:rFonts w:hint="eastAsia" w:ascii="宋体" w:hAnsi="宋体" w:cs="宋体"/>
          <w:bCs/>
          <w:sz w:val="24"/>
          <w:szCs w:val="24"/>
        </w:rPr>
        <w:t xml:space="preserve">  既有知识产权是指中心设立之前，各成员单位获得和拥有的知识产权；或中心设立之后，各成员单位在中心约定或指定项目之外获得和拥有的知识产权。</w:t>
      </w:r>
    </w:p>
    <w:p>
      <w:pPr>
        <w:pStyle w:val="3"/>
        <w:keepNext/>
        <w:keepLines/>
        <w:pageBreakBefore w:val="0"/>
        <w:widowControl w:val="0"/>
        <w:tabs>
          <w:tab w:val="left" w:pos="5683"/>
        </w:tabs>
        <w:kinsoku/>
        <w:wordWrap/>
        <w:overflowPunct/>
        <w:topLinePunct w:val="0"/>
        <w:autoSpaceDE/>
        <w:autoSpaceDN/>
        <w:bidi w:val="0"/>
        <w:adjustRightInd/>
        <w:snapToGrid/>
        <w:spacing w:before="313" w:beforeLines="100" w:after="313" w:afterLines="100" w:line="320" w:lineRule="exact"/>
        <w:ind w:left="0" w:leftChars="0" w:right="0" w:rightChars="0" w:firstLine="0" w:firstLineChars="0"/>
        <w:jc w:val="both"/>
        <w:textAlignment w:val="auto"/>
        <w:outlineLvl w:val="1"/>
        <w:rPr>
          <w:rFonts w:hint="eastAsia" w:ascii="黑体" w:hAnsi="黑体"/>
          <w:b w:val="0"/>
          <w:bCs/>
          <w:sz w:val="32"/>
          <w:szCs w:val="32"/>
        </w:rPr>
      </w:pPr>
      <w:bookmarkStart w:id="52" w:name="_Toc19816"/>
      <w:bookmarkStart w:id="53" w:name="_Toc31735"/>
      <w:bookmarkStart w:id="54" w:name="_Toc29127"/>
      <w:bookmarkStart w:id="55" w:name="_Toc16890"/>
      <w:bookmarkStart w:id="56" w:name="_Toc4079"/>
      <w:bookmarkStart w:id="57" w:name="_Toc17395"/>
      <w:bookmarkStart w:id="58" w:name="_Toc23842"/>
      <w:bookmarkStart w:id="59" w:name="_Toc29516"/>
      <w:bookmarkStart w:id="60" w:name="_Toc4532"/>
      <w:bookmarkStart w:id="61" w:name="_Toc32356"/>
      <w:bookmarkStart w:id="62" w:name="_Toc26356"/>
      <w:r>
        <w:rPr>
          <w:rFonts w:hint="eastAsia" w:ascii="黑体" w:hAnsi="黑体"/>
          <w:b w:val="0"/>
          <w:bCs/>
          <w:sz w:val="32"/>
          <w:szCs w:val="32"/>
        </w:rPr>
        <w:t>4基本要求</w:t>
      </w:r>
      <w:bookmarkEnd w:id="52"/>
      <w:bookmarkEnd w:id="53"/>
      <w:bookmarkEnd w:id="54"/>
      <w:bookmarkEnd w:id="55"/>
      <w:bookmarkEnd w:id="56"/>
      <w:bookmarkEnd w:id="57"/>
      <w:bookmarkEnd w:id="58"/>
      <w:bookmarkEnd w:id="59"/>
      <w:bookmarkEnd w:id="60"/>
      <w:bookmarkEnd w:id="61"/>
      <w:bookmarkEnd w:id="62"/>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63" w:name="_Toc14046"/>
      <w:r>
        <w:rPr>
          <w:rFonts w:hint="eastAsia" w:ascii="黑体" w:hAnsi="黑体" w:eastAsia="黑体"/>
          <w:b w:val="0"/>
          <w:bCs/>
          <w:sz w:val="24"/>
          <w:szCs w:val="24"/>
        </w:rPr>
        <w:t>4.1健全管理</w:t>
      </w:r>
      <w:bookmarkEnd w:id="6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建立主要领导负责的知识产权组织管理机构。建立、健全知识产权管理制度。</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64" w:name="_Toc4559"/>
      <w:r>
        <w:rPr>
          <w:rFonts w:hint="eastAsia" w:ascii="黑体" w:hAnsi="黑体" w:eastAsia="黑体"/>
          <w:b w:val="0"/>
          <w:bCs/>
          <w:sz w:val="24"/>
          <w:szCs w:val="24"/>
        </w:rPr>
        <w:t>4.2强化保护</w:t>
      </w:r>
      <w:bookmarkEnd w:id="6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综合运用专利、商标、著作权、集成电路布图设计和商业秘密等各类知识产权，构建核心技术知识产权保护体系，有效管理和防控知识产权风险，保障创新主体合法权益。</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65" w:name="_Toc23911"/>
      <w:bookmarkStart w:id="66" w:name="_Toc670"/>
      <w:bookmarkStart w:id="67" w:name="_Toc7837"/>
      <w:bookmarkStart w:id="68" w:name="_Toc550"/>
      <w:bookmarkStart w:id="69" w:name="_Toc2944"/>
      <w:bookmarkStart w:id="70" w:name="_Toc11136"/>
      <w:bookmarkStart w:id="71" w:name="_Toc1748"/>
      <w:bookmarkStart w:id="72" w:name="_Toc32601"/>
      <w:bookmarkStart w:id="73" w:name="_Toc380"/>
      <w:bookmarkStart w:id="74" w:name="_Toc19955"/>
      <w:bookmarkStart w:id="75" w:name="_Toc24798"/>
      <w:r>
        <w:rPr>
          <w:rFonts w:hint="eastAsia" w:ascii="黑体" w:hAnsi="黑体" w:eastAsia="黑体"/>
          <w:b w:val="0"/>
          <w:bCs/>
          <w:sz w:val="24"/>
          <w:szCs w:val="24"/>
        </w:rPr>
        <w:t>4.3</w:t>
      </w:r>
      <w:bookmarkEnd w:id="65"/>
      <w:bookmarkEnd w:id="66"/>
      <w:bookmarkEnd w:id="67"/>
      <w:bookmarkEnd w:id="68"/>
      <w:bookmarkEnd w:id="69"/>
      <w:bookmarkEnd w:id="70"/>
      <w:bookmarkEnd w:id="71"/>
      <w:bookmarkEnd w:id="72"/>
      <w:bookmarkEnd w:id="73"/>
      <w:bookmarkEnd w:id="74"/>
      <w:r>
        <w:rPr>
          <w:rFonts w:hint="eastAsia" w:ascii="黑体" w:hAnsi="黑体" w:eastAsia="黑体"/>
          <w:b w:val="0"/>
          <w:bCs/>
          <w:sz w:val="24"/>
          <w:szCs w:val="24"/>
        </w:rPr>
        <w:t>转移转化</w:t>
      </w:r>
      <w:bookmarkEnd w:id="7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制定知识产权转移转化原则、政策，建立转移扩散机制，实现创新成果产业化。</w:t>
      </w:r>
      <w:bookmarkStart w:id="76" w:name="_Toc18014"/>
      <w:bookmarkStart w:id="77" w:name="_Toc3112"/>
      <w:bookmarkStart w:id="78" w:name="_Toc27346"/>
      <w:bookmarkStart w:id="79" w:name="_Toc21657"/>
      <w:bookmarkStart w:id="80" w:name="_Toc5022"/>
      <w:bookmarkStart w:id="81" w:name="_Toc23679"/>
      <w:bookmarkStart w:id="82" w:name="_Toc16639"/>
      <w:bookmarkStart w:id="83" w:name="_Toc632"/>
      <w:bookmarkStart w:id="84" w:name="_Toc8577"/>
      <w:bookmarkStart w:id="85" w:name="_Toc18839"/>
    </w:p>
    <w:bookmarkEnd w:id="76"/>
    <w:bookmarkEnd w:id="77"/>
    <w:bookmarkEnd w:id="78"/>
    <w:bookmarkEnd w:id="79"/>
    <w:bookmarkEnd w:id="80"/>
    <w:bookmarkEnd w:id="81"/>
    <w:bookmarkEnd w:id="82"/>
    <w:bookmarkEnd w:id="83"/>
    <w:bookmarkEnd w:id="84"/>
    <w:bookmarkEnd w:id="85"/>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86" w:name="_Toc21562"/>
      <w:r>
        <w:rPr>
          <w:rFonts w:hint="eastAsia" w:ascii="黑体" w:hAnsi="黑体" w:eastAsia="黑体"/>
          <w:b w:val="0"/>
          <w:bCs/>
          <w:sz w:val="24"/>
          <w:szCs w:val="24"/>
        </w:rPr>
        <w:t>4.4支撑服务</w:t>
      </w:r>
      <w:bookmarkEnd w:id="8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汇聚行业创新资源，面向行业开放共享。依托产业联盟、行业组织，联合专业机构，提供产业知识产权支撑服务。</w:t>
      </w:r>
    </w:p>
    <w:p>
      <w:pPr>
        <w:pStyle w:val="3"/>
        <w:keepNext/>
        <w:keepLines/>
        <w:pageBreakBefore w:val="0"/>
        <w:widowControl w:val="0"/>
        <w:tabs>
          <w:tab w:val="left" w:pos="5683"/>
        </w:tabs>
        <w:kinsoku/>
        <w:wordWrap/>
        <w:overflowPunct/>
        <w:topLinePunct w:val="0"/>
        <w:autoSpaceDE/>
        <w:autoSpaceDN/>
        <w:bidi w:val="0"/>
        <w:adjustRightInd/>
        <w:snapToGrid/>
        <w:spacing w:before="313" w:beforeLines="100" w:after="313" w:afterLines="100" w:line="320" w:lineRule="exact"/>
        <w:ind w:left="0" w:leftChars="0" w:right="0" w:rightChars="0" w:firstLine="0" w:firstLineChars="0"/>
        <w:jc w:val="both"/>
        <w:textAlignment w:val="auto"/>
        <w:outlineLvl w:val="1"/>
        <w:rPr>
          <w:rFonts w:hint="eastAsia" w:ascii="黑体" w:hAnsi="黑体"/>
          <w:b w:val="0"/>
          <w:bCs/>
          <w:sz w:val="32"/>
          <w:szCs w:val="32"/>
        </w:rPr>
      </w:pPr>
      <w:bookmarkStart w:id="87" w:name="_Toc6138"/>
      <w:r>
        <w:rPr>
          <w:rFonts w:hint="eastAsia" w:ascii="黑体" w:hAnsi="黑体"/>
          <w:b w:val="0"/>
          <w:bCs/>
          <w:sz w:val="32"/>
          <w:szCs w:val="32"/>
        </w:rPr>
        <w:t>5框架与内容</w:t>
      </w:r>
      <w:bookmarkEnd w:id="87"/>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88" w:name="_Toc29932"/>
      <w:bookmarkStart w:id="89" w:name="_Toc9117"/>
      <w:bookmarkStart w:id="90" w:name="_Toc6892"/>
      <w:bookmarkStart w:id="91" w:name="_Toc21937"/>
      <w:bookmarkStart w:id="92" w:name="_Toc22852"/>
      <w:bookmarkStart w:id="93" w:name="_Toc28211"/>
      <w:bookmarkStart w:id="94" w:name="_Toc5331"/>
      <w:bookmarkStart w:id="95" w:name="_Toc9577"/>
      <w:bookmarkStart w:id="96" w:name="_Toc31950"/>
      <w:bookmarkStart w:id="97" w:name="_Toc28735"/>
      <w:bookmarkStart w:id="98" w:name="_Toc12512"/>
      <w:r>
        <w:rPr>
          <w:rFonts w:hint="eastAsia" w:ascii="黑体" w:hAnsi="黑体" w:eastAsia="黑体"/>
          <w:b w:val="0"/>
          <w:bCs/>
          <w:sz w:val="24"/>
          <w:szCs w:val="24"/>
        </w:rPr>
        <w:t>5.1知识产权管理</w:t>
      </w:r>
      <w:bookmarkEnd w:id="88"/>
      <w:bookmarkEnd w:id="89"/>
      <w:bookmarkEnd w:id="90"/>
      <w:bookmarkEnd w:id="91"/>
      <w:bookmarkEnd w:id="92"/>
      <w:bookmarkEnd w:id="93"/>
      <w:bookmarkEnd w:id="94"/>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按照《企业知识产权管理规范》（GB/T 29490-2013）和《工业企业知识产权管理指南》（工信部科〔2013〕447号）中心及成员单位设立知识产权管理机构，明确各自知识产权管理主体与责任，制定知识产权管理制度，构建知识产权管理体系。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中心面向员工开展知识产权培训，并签保密合同</w:t>
      </w:r>
      <w:bookmarkStart w:id="99" w:name="_Toc329161710"/>
      <w:r>
        <w:rPr>
          <w:rFonts w:hint="eastAsia" w:ascii="宋体" w:hAnsi="宋体" w:cs="宋体"/>
          <w:bCs/>
          <w:sz w:val="24"/>
          <w:szCs w:val="24"/>
        </w:rPr>
        <w:t>，与研发、生产、销售等关键岗位入职员工签订知识产权声明文件</w:t>
      </w:r>
      <w:r>
        <w:rPr>
          <w:rFonts w:hint="eastAsia" w:ascii="宋体" w:hAnsi="宋体" w:cs="宋体"/>
          <w:bCs/>
          <w:sz w:val="24"/>
          <w:szCs w:val="24"/>
          <w:lang w:val="en-US" w:eastAsia="zh-CN"/>
        </w:rPr>
        <w:t>,</w:t>
      </w:r>
      <w:r>
        <w:rPr>
          <w:rFonts w:hint="eastAsia" w:ascii="宋体" w:hAnsi="宋体" w:cs="宋体"/>
          <w:bCs/>
          <w:sz w:val="24"/>
          <w:szCs w:val="24"/>
        </w:rPr>
        <w:t>与涉及核心技术知识产权员工签订竞业禁止协议。</w:t>
      </w:r>
    </w:p>
    <w:bookmarkEnd w:id="99"/>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中心按研发经费一定比例安排知识产权经费，成员单位</w:t>
      </w:r>
      <w:r>
        <w:rPr>
          <w:rFonts w:hint="eastAsia" w:ascii="宋体" w:hAnsi="宋体" w:cs="宋体"/>
          <w:bCs/>
          <w:sz w:val="24"/>
          <w:szCs w:val="24"/>
          <w:lang w:eastAsia="zh-CN"/>
        </w:rPr>
        <w:t>配套一定比例的知识产权经费，并</w:t>
      </w:r>
      <w:r>
        <w:rPr>
          <w:rFonts w:hint="eastAsia" w:ascii="宋体" w:hAnsi="宋体" w:cs="宋体"/>
          <w:bCs/>
          <w:sz w:val="24"/>
          <w:szCs w:val="24"/>
        </w:rPr>
        <w:t>规范使用</w:t>
      </w:r>
      <w:r>
        <w:rPr>
          <w:rFonts w:hint="eastAsia" w:ascii="宋体" w:hAnsi="宋体" w:cs="宋体"/>
          <w:bCs/>
          <w:sz w:val="24"/>
          <w:szCs w:val="24"/>
          <w:lang w:eastAsia="zh-CN"/>
        </w:rPr>
        <w:t>，</w:t>
      </w:r>
      <w:r>
        <w:rPr>
          <w:rFonts w:hint="eastAsia" w:ascii="宋体" w:hAnsi="宋体" w:cs="宋体"/>
          <w:bCs/>
          <w:sz w:val="24"/>
          <w:szCs w:val="24"/>
        </w:rPr>
        <w:t>严格管理经费。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ascii="宋体" w:hAnsi="宋体" w:cs="宋体"/>
          <w:bCs/>
          <w:sz w:val="24"/>
          <w:szCs w:val="24"/>
          <w:lang w:val="en-US" w:eastAsia="zh-CN"/>
        </w:rPr>
        <w:t xml:space="preserve">    </w:t>
      </w:r>
      <w:r>
        <w:rPr>
          <w:rFonts w:hint="eastAsia" w:ascii="宋体" w:hAnsi="宋体" w:cs="宋体"/>
          <w:bCs/>
          <w:sz w:val="24"/>
          <w:szCs w:val="24"/>
        </w:rPr>
        <w:t>中心</w:t>
      </w:r>
      <w:r>
        <w:rPr>
          <w:rFonts w:hint="eastAsia" w:ascii="宋体" w:hAnsi="宋体" w:cs="宋体"/>
          <w:bCs/>
          <w:sz w:val="24"/>
          <w:szCs w:val="24"/>
          <w:lang w:eastAsia="zh-CN"/>
        </w:rPr>
        <w:t>实施科研项目全过程知识产权管理。</w:t>
      </w:r>
      <w:r>
        <w:rPr>
          <w:rFonts w:hint="eastAsia" w:ascii="宋体" w:hAnsi="宋体" w:cs="宋体"/>
          <w:bCs/>
          <w:sz w:val="24"/>
          <w:szCs w:val="24"/>
        </w:rPr>
        <w:t>依法确定或约定知识产权权属，明确成员单位既有知识产权清单，在研发、转移转化、生产经营、对外合作等</w:t>
      </w:r>
      <w:r>
        <w:rPr>
          <w:rFonts w:hint="eastAsia" w:ascii="宋体" w:hAnsi="宋体" w:cs="宋体"/>
          <w:bCs/>
          <w:sz w:val="24"/>
          <w:szCs w:val="24"/>
          <w:lang w:eastAsia="zh-CN"/>
        </w:rPr>
        <w:t>过程</w:t>
      </w:r>
      <w:r>
        <w:rPr>
          <w:rFonts w:hint="eastAsia" w:ascii="宋体" w:hAnsi="宋体" w:cs="宋体"/>
          <w:bCs/>
          <w:sz w:val="24"/>
          <w:szCs w:val="24"/>
        </w:rPr>
        <w:t>中适时监测权属变化，加强知识产权权属管理。中心承担公共财政出资的技术研发或自主研发形成的知识产权归中心所有，中心接受委托开展技术研发形成的知识产权由双方约定；成员单位接受中心委托由公共财政出资的技术研发形成的知识产权权属由双方约定，成员单位自主研发形成的知识产权权属归成员单位所有；成员单位之间联合开展技术研发形成的知识产权权属由双方共同所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    中心制定专利管理办法，规范专利申请维护、预警保护、发明人奖励、档案管理等事项。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    中心制定商业秘密管理办法，规范研发、转移转化和生产经营等过程的商业秘密管理。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    中心制定商标管理办法，规范国内、国外商标注册申请、商标权使用、著名商标和驰名商标管理等。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    中心制定软件著作权、集成电路布图设计管理办法，规范软件著作权、集成电路布图设计权的登记与备案等事项。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    中心汇集专利、商标、著作权、集成电路布图设计等知识产权信息，面向成员单位开放知识产权基本信息，</w:t>
      </w:r>
      <w:bookmarkStart w:id="100" w:name="_Toc18147"/>
      <w:bookmarkStart w:id="101" w:name="_Toc1347"/>
      <w:r>
        <w:rPr>
          <w:rFonts w:hint="eastAsia" w:ascii="宋体" w:hAnsi="宋体" w:cs="宋体"/>
          <w:bCs/>
          <w:sz w:val="24"/>
          <w:szCs w:val="24"/>
          <w:lang w:val="en-US" w:eastAsia="zh-CN"/>
        </w:rPr>
        <w:t>设置专人对知识产权档案等进行数字化管理，建立数字管理系统，采取有效技术保护措施，保障中心知识产权电子档案的信息安全。</w:t>
      </w:r>
      <w:bookmarkEnd w:id="100"/>
      <w:bookmarkEnd w:id="101"/>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102" w:name="_Toc8305"/>
      <w:r>
        <w:rPr>
          <w:rFonts w:hint="eastAsia" w:ascii="黑体" w:hAnsi="黑体" w:eastAsia="黑体"/>
          <w:b w:val="0"/>
          <w:bCs/>
          <w:sz w:val="24"/>
          <w:szCs w:val="24"/>
        </w:rPr>
        <w:t>5.2知识产权保护</w:t>
      </w:r>
      <w:bookmarkEnd w:id="102"/>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r>
        <w:rPr>
          <w:rFonts w:hint="eastAsia" w:ascii="黑体" w:hAnsi="黑体" w:eastAsia="黑体"/>
          <w:b w:val="0"/>
          <w:bCs/>
          <w:sz w:val="24"/>
          <w:szCs w:val="24"/>
        </w:rPr>
        <w:t>5.2.1构建核心技术保护体系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s="宋体"/>
          <w:bCs/>
          <w:sz w:val="24"/>
          <w:szCs w:val="24"/>
        </w:rPr>
      </w:pPr>
      <w:r>
        <w:rPr>
          <w:rFonts w:hint="eastAsia" w:ascii="宋体" w:hAnsi="宋体" w:cs="宋体"/>
          <w:bCs/>
          <w:sz w:val="24"/>
          <w:szCs w:val="24"/>
        </w:rPr>
        <w:t>中心面向战略必争重点领域，积累和储备前沿技术和产业链关键技术专利，形成一批竞争性专利组合。中心面向优势产业，有效运用专利、著作权、集成电路布图设计、商业秘密等不同类型的知识产权进行国内、国际布局，构建关键共性技术保护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中心及成员单位通过购买、合作、并购重组、专利池建设、知识产权运营等获得关键共性技术知识产权。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中心及成员单位注重发挥标准的引领、保障作用，加强标准中必要专利技术的积累与应用，形成具有产业影响力的关键技术标准。</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103" w:name="_Toc17284"/>
      <w:bookmarkStart w:id="104" w:name="_Toc12827"/>
      <w:bookmarkStart w:id="105" w:name="_Toc20073"/>
      <w:bookmarkStart w:id="106" w:name="_Toc17562"/>
      <w:bookmarkStart w:id="107" w:name="_Toc4020"/>
      <w:bookmarkStart w:id="108" w:name="_Toc29489"/>
      <w:bookmarkStart w:id="109" w:name="_Toc32482"/>
      <w:bookmarkStart w:id="110" w:name="_Toc25928"/>
      <w:r>
        <w:rPr>
          <w:rFonts w:hint="eastAsia" w:ascii="黑体" w:hAnsi="黑体" w:eastAsia="黑体"/>
          <w:b w:val="0"/>
          <w:bCs/>
          <w:sz w:val="24"/>
          <w:szCs w:val="24"/>
        </w:rPr>
        <w:t>5.2.2知识产权风险防控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highlight w:val="yellow"/>
        </w:rPr>
      </w:pPr>
      <w:r>
        <w:rPr>
          <w:rFonts w:hint="eastAsia" w:ascii="宋体" w:hAnsi="宋体" w:cs="宋体"/>
          <w:bCs/>
          <w:sz w:val="24"/>
          <w:szCs w:val="24"/>
        </w:rPr>
        <w:t>中心编制知识产权风险预警与防范实务手册，指导、引导成员单位识别、排查、诊断、研判知识产权风险。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中心及成员单位立项、研发、采购、生产、销售、售后、合作等活动中，对专利、商标、著作权等知识产权信息进行检索分析与风险评估。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中心及成员单位加强境外知识产权风险管理，在技术引进、产品出口、境外参会参展等方面，应对知识产权风险。</w:t>
      </w:r>
    </w:p>
    <w:bookmarkEnd w:id="103"/>
    <w:bookmarkEnd w:id="104"/>
    <w:bookmarkEnd w:id="105"/>
    <w:bookmarkEnd w:id="106"/>
    <w:bookmarkEnd w:id="107"/>
    <w:bookmarkEnd w:id="108"/>
    <w:bookmarkEnd w:id="109"/>
    <w:bookmarkEnd w:id="11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ascii="宋体" w:hAnsi="宋体" w:cs="宋体"/>
          <w:sz w:val="24"/>
          <w:szCs w:val="24"/>
        </w:rPr>
        <w:t>中心及成员单位对授权、许可使用的知识产权进行监测，对使用不当行为，</w:t>
      </w:r>
      <w:r>
        <w:rPr>
          <w:rFonts w:hint="eastAsia"/>
          <w:sz w:val="24"/>
          <w:szCs w:val="24"/>
        </w:rPr>
        <w:t>及时</w:t>
      </w:r>
      <w:r>
        <w:rPr>
          <w:sz w:val="24"/>
          <w:szCs w:val="24"/>
        </w:rPr>
        <w:t>提出</w:t>
      </w:r>
      <w:r>
        <w:rPr>
          <w:rFonts w:hint="eastAsia"/>
          <w:sz w:val="24"/>
          <w:szCs w:val="24"/>
        </w:rPr>
        <w:t>预警预报和</w:t>
      </w:r>
      <w:r>
        <w:rPr>
          <w:sz w:val="24"/>
          <w:szCs w:val="24"/>
        </w:rPr>
        <w:t>处理建议。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及成员单位对竞争对手滥用知识产权的行为，积极采取以下措施阻止：（1）及时有效公开不需要申请知识产权的创新成果，阻止他人利用相同成果获取知识产权；（2）合理规划原始创新、合作研发、并购、受让等知识产权获得行为，消除潜在知识产权壁垒；（3）有针对性地开展</w:t>
      </w:r>
      <w:r>
        <w:rPr>
          <w:rFonts w:hint="eastAsia"/>
          <w:sz w:val="24"/>
          <w:szCs w:val="24"/>
        </w:rPr>
        <w:t>主要产品销售地的国际专利申请，加强</w:t>
      </w:r>
      <w:r>
        <w:rPr>
          <w:rFonts w:hint="eastAsia" w:ascii="宋体" w:hAnsi="宋体" w:cs="宋体"/>
          <w:bCs/>
          <w:sz w:val="24"/>
          <w:szCs w:val="24"/>
        </w:rPr>
        <w:t>防御性专利布局。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中心建立重大经济技术活动知识产权评议制度，规范评议范围和程序，对成员单位承担的公共财政出资项目、产业化项目等开展知识产权评议。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highlight w:val="none"/>
        </w:rPr>
      </w:pPr>
      <w:r>
        <w:rPr>
          <w:rFonts w:hint="eastAsia" w:ascii="宋体" w:hAnsi="宋体" w:cs="宋体"/>
          <w:bCs/>
          <w:sz w:val="24"/>
          <w:szCs w:val="24"/>
          <w:highlight w:val="none"/>
        </w:rPr>
        <w:t>中心建立知识产权信用档案制度，将企业和个人故意侵犯知识产权行为情况纳入信用记录。</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111" w:name="_Toc22569"/>
      <w:bookmarkStart w:id="112" w:name="_Toc8752"/>
      <w:bookmarkStart w:id="113" w:name="_Toc304"/>
      <w:bookmarkStart w:id="114" w:name="_Toc4481"/>
      <w:bookmarkStart w:id="115" w:name="_Toc29988"/>
      <w:bookmarkStart w:id="116" w:name="_Toc22563"/>
      <w:bookmarkStart w:id="117" w:name="_Toc2478"/>
      <w:bookmarkStart w:id="118" w:name="_Toc17324"/>
      <w:r>
        <w:rPr>
          <w:rFonts w:hint="eastAsia" w:ascii="黑体" w:hAnsi="黑体" w:eastAsia="黑体"/>
          <w:b w:val="0"/>
          <w:bCs/>
          <w:sz w:val="24"/>
          <w:szCs w:val="24"/>
        </w:rPr>
        <w:t>5.2.3</w:t>
      </w:r>
      <w:bookmarkEnd w:id="111"/>
      <w:bookmarkEnd w:id="112"/>
      <w:bookmarkEnd w:id="113"/>
      <w:bookmarkEnd w:id="114"/>
      <w:bookmarkEnd w:id="115"/>
      <w:bookmarkEnd w:id="116"/>
      <w:bookmarkEnd w:id="117"/>
      <w:bookmarkEnd w:id="118"/>
      <w:r>
        <w:rPr>
          <w:rFonts w:hint="eastAsia" w:ascii="黑体" w:hAnsi="黑体" w:eastAsia="黑体"/>
          <w:b w:val="0"/>
          <w:bCs/>
          <w:sz w:val="24"/>
          <w:szCs w:val="24"/>
        </w:rPr>
        <w:t>维护中心合法权益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中心及成员单位综合运用和解、调解、仲裁、请求行政执法部门处理或提起法律诉讼等方式，解决知识产权争议纠纷，维护合法权益</w:t>
      </w:r>
      <w:r>
        <w:rPr>
          <w:rFonts w:hint="eastAsia" w:ascii="宋体" w:hAnsi="宋体" w:cs="宋体"/>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ascii="宋体" w:hAnsi="宋体" w:cs="宋体"/>
          <w:bCs/>
          <w:sz w:val="24"/>
          <w:szCs w:val="24"/>
        </w:rPr>
        <w:t>中心及成员单位充分利用专利研发、设计等文档，必要时对不当专利申请进行异议或无效宣告请求。</w:t>
      </w:r>
      <w:r>
        <w:rPr>
          <w:rFonts w:hint="eastAsia"/>
          <w:sz w:val="24"/>
          <w:szCs w:val="24"/>
        </w:rPr>
        <w:t>主动监测专利实施状况，采取措施防范他人非法生产制造、使用、销售、进口专利产品等侵权行为。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sz w:val="24"/>
          <w:szCs w:val="24"/>
        </w:rPr>
      </w:pPr>
      <w:r>
        <w:rPr>
          <w:rFonts w:hint="eastAsia" w:ascii="宋体" w:hAnsi="宋体" w:cs="宋体"/>
          <w:sz w:val="24"/>
          <w:szCs w:val="24"/>
        </w:rPr>
        <w:t>中心及成员单位对被授权使用、许可使用注册商标进行监测，</w:t>
      </w:r>
      <w:r>
        <w:rPr>
          <w:rFonts w:hint="eastAsia" w:ascii="宋体" w:hAnsi="宋体" w:cs="宋体"/>
          <w:bCs/>
          <w:sz w:val="24"/>
          <w:szCs w:val="24"/>
        </w:rPr>
        <w:t>对抢注、不正当注册</w:t>
      </w:r>
      <w:r>
        <w:rPr>
          <w:rFonts w:hint="eastAsia" w:ascii="宋体" w:hAnsi="宋体" w:cs="宋体"/>
          <w:bCs/>
          <w:sz w:val="24"/>
          <w:szCs w:val="24"/>
          <w:lang w:eastAsia="zh-CN"/>
        </w:rPr>
        <w:t>、</w:t>
      </w:r>
      <w:r>
        <w:rPr>
          <w:rFonts w:hint="eastAsia" w:ascii="宋体" w:hAnsi="宋体" w:cs="宋体"/>
          <w:bCs/>
          <w:sz w:val="24"/>
          <w:szCs w:val="24"/>
        </w:rPr>
        <w:t>近似</w:t>
      </w:r>
      <w:r>
        <w:rPr>
          <w:rFonts w:hint="eastAsia" w:ascii="宋体" w:hAnsi="宋体" w:cs="宋体"/>
          <w:bCs/>
          <w:sz w:val="24"/>
          <w:szCs w:val="24"/>
          <w:lang w:eastAsia="zh-CN"/>
        </w:rPr>
        <w:t>使用商标等</w:t>
      </w:r>
      <w:r>
        <w:rPr>
          <w:rFonts w:hint="eastAsia" w:ascii="宋体" w:hAnsi="宋体" w:cs="宋体"/>
          <w:bCs/>
          <w:sz w:val="24"/>
          <w:szCs w:val="24"/>
        </w:rPr>
        <w:t>侵权行为，及时提出异议、争议申请，提起诉讼，保护商标专有权。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rPr>
        <w:t>中心及成员单位及时进行著作权备案或登记，采取必要的技术手段防范非法复制、盗版等著作权侵权行为。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Cs w:val="21"/>
        </w:rPr>
      </w:pPr>
      <w:r>
        <w:rPr>
          <w:rFonts w:hint="eastAsia" w:ascii="宋体" w:hAnsi="宋体" w:cs="宋体"/>
          <w:bCs/>
          <w:sz w:val="24"/>
          <w:szCs w:val="24"/>
        </w:rPr>
        <w:t>中心及成员单位加强商业秘密保护和维权，制定泄密事件应急处置预案。对侵犯中心及成员单位商业秘密的行为，依法主张权利，采取措施制止侵权，避免和减少损失。</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119" w:name="_Toc6615"/>
      <w:bookmarkStart w:id="120" w:name="_Toc32442"/>
      <w:bookmarkStart w:id="121" w:name="_Toc29945"/>
      <w:bookmarkStart w:id="122" w:name="_Toc6969"/>
      <w:bookmarkStart w:id="123" w:name="_Toc20140"/>
      <w:bookmarkStart w:id="124" w:name="_Toc21191"/>
      <w:bookmarkStart w:id="125" w:name="_Toc19328"/>
      <w:bookmarkStart w:id="126" w:name="_Toc24532"/>
      <w:bookmarkStart w:id="127" w:name="_Toc3143"/>
      <w:bookmarkStart w:id="128" w:name="_Toc11710"/>
      <w:bookmarkStart w:id="129" w:name="_Toc26117"/>
      <w:r>
        <w:rPr>
          <w:rFonts w:hint="eastAsia" w:ascii="黑体" w:hAnsi="黑体" w:eastAsia="黑体"/>
          <w:b w:val="0"/>
          <w:bCs/>
          <w:sz w:val="24"/>
          <w:szCs w:val="24"/>
        </w:rPr>
        <w:t>5.3知识</w:t>
      </w:r>
      <w:bookmarkEnd w:id="119"/>
      <w:bookmarkEnd w:id="120"/>
      <w:bookmarkEnd w:id="121"/>
      <w:bookmarkEnd w:id="122"/>
      <w:bookmarkEnd w:id="123"/>
      <w:bookmarkEnd w:id="124"/>
      <w:bookmarkEnd w:id="125"/>
      <w:bookmarkEnd w:id="126"/>
      <w:bookmarkEnd w:id="127"/>
      <w:bookmarkEnd w:id="128"/>
      <w:r>
        <w:rPr>
          <w:rFonts w:hint="eastAsia" w:ascii="黑体" w:hAnsi="黑体" w:eastAsia="黑体"/>
          <w:b w:val="0"/>
          <w:bCs/>
          <w:sz w:val="24"/>
          <w:szCs w:val="24"/>
        </w:rPr>
        <w:t>产权转移转化</w:t>
      </w:r>
      <w:bookmarkEnd w:id="129"/>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130" w:name="_Toc9595"/>
      <w:bookmarkStart w:id="131" w:name="_Toc2069"/>
      <w:bookmarkStart w:id="132" w:name="_Toc6617"/>
      <w:bookmarkStart w:id="133" w:name="_Toc2273"/>
      <w:bookmarkStart w:id="134" w:name="_Toc3183"/>
      <w:bookmarkStart w:id="135" w:name="_Toc15965"/>
      <w:bookmarkStart w:id="136" w:name="_Toc20972"/>
      <w:bookmarkStart w:id="137" w:name="_Toc9437"/>
      <w:bookmarkStart w:id="138" w:name="_Toc25582"/>
      <w:bookmarkStart w:id="139" w:name="_Toc13623"/>
      <w:r>
        <w:rPr>
          <w:rFonts w:hint="eastAsia" w:ascii="黑体" w:hAnsi="黑体" w:eastAsia="黑体"/>
          <w:b w:val="0"/>
          <w:bCs/>
          <w:sz w:val="24"/>
          <w:szCs w:val="24"/>
        </w:rPr>
        <w:t>5.3.1建立知识产权转移转化机制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rPr>
        <w:t>中心制定知识产权转移转化政策，明确转移转化原则，确立转移转化主体。建立健全知识产权转移转化的许可转让、收益分配、奖励报酬等制度。依据国家和地方有关规定，对职务成果完成人和为成果转化作出重要贡献的人员给予奖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sz w:val="24"/>
          <w:szCs w:val="24"/>
        </w:rPr>
      </w:pPr>
      <w:r>
        <w:rPr>
          <w:rFonts w:hint="eastAsia"/>
          <w:sz w:val="24"/>
          <w:szCs w:val="24"/>
        </w:rPr>
        <w:t>中心在技术研发和创新成果推广应用中，需要使用成员单位既有知识产权的，既有知识产权的所有人应许可使用，但中心</w:t>
      </w:r>
      <w:r>
        <w:rPr>
          <w:rFonts w:hint="eastAsia"/>
          <w:sz w:val="24"/>
          <w:szCs w:val="24"/>
          <w:lang w:eastAsia="zh-CN"/>
        </w:rPr>
        <w:t>应</w:t>
      </w:r>
      <w:r>
        <w:rPr>
          <w:rFonts w:hint="eastAsia"/>
          <w:sz w:val="24"/>
          <w:szCs w:val="24"/>
        </w:rPr>
        <w:t>明确使用范围</w:t>
      </w:r>
      <w:r>
        <w:rPr>
          <w:rFonts w:hint="eastAsia"/>
          <w:sz w:val="24"/>
          <w:szCs w:val="24"/>
          <w:lang w:eastAsia="zh-CN"/>
        </w:rPr>
        <w:t>，</w:t>
      </w:r>
      <w:r>
        <w:rPr>
          <w:rFonts w:hint="eastAsia"/>
          <w:sz w:val="24"/>
          <w:szCs w:val="24"/>
          <w:highlight w:val="none"/>
          <w:lang w:eastAsia="zh-CN"/>
        </w:rPr>
        <w:t>双方约定</w:t>
      </w:r>
      <w:r>
        <w:rPr>
          <w:rFonts w:hint="eastAsia"/>
          <w:sz w:val="24"/>
          <w:szCs w:val="24"/>
          <w:highlight w:val="none"/>
        </w:rPr>
        <w:t>使用费用</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rPr>
        <w:t>中心及成员单位积极利用基金、贷款风险补偿、种子项目融资等方式，吸引社会资本投入，形成知识产权转移转化多元化投入渠道，建立成员单位间利益分享、风险分担的知识产权转移转化机制。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rPr>
        <w:t>中心依托产业技术联盟，面向行业联合骨干企业和高校、科研院所，探索形成市场化的知识产权转移扩散模式。</w:t>
      </w:r>
      <w:bookmarkStart w:id="153" w:name="_GoBack"/>
      <w:bookmarkEnd w:id="153"/>
    </w:p>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r>
        <w:rPr>
          <w:rFonts w:hint="eastAsia" w:ascii="黑体" w:hAnsi="黑体" w:eastAsia="黑体"/>
          <w:b w:val="0"/>
          <w:bCs/>
          <w:sz w:val="24"/>
          <w:szCs w:val="24"/>
        </w:rPr>
        <w:t>5.3.2强化知识产权转移转化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highlight w:val="none"/>
        </w:rPr>
        <w:t>中心围绕重点领域和关键环节汇集、加工、筛选一批符合产业转型升级方向的</w:t>
      </w:r>
      <w:r>
        <w:rPr>
          <w:rFonts w:hint="eastAsia"/>
          <w:sz w:val="24"/>
          <w:szCs w:val="24"/>
          <w:highlight w:val="none"/>
          <w:lang w:eastAsia="zh-CN"/>
        </w:rPr>
        <w:t>以</w:t>
      </w:r>
      <w:r>
        <w:rPr>
          <w:rFonts w:hint="eastAsia"/>
          <w:sz w:val="24"/>
          <w:szCs w:val="24"/>
          <w:highlight w:val="none"/>
        </w:rPr>
        <w:t>知识产权</w:t>
      </w:r>
      <w:r>
        <w:rPr>
          <w:rFonts w:hint="eastAsia"/>
          <w:sz w:val="24"/>
          <w:szCs w:val="24"/>
          <w:highlight w:val="none"/>
          <w:lang w:eastAsia="zh-CN"/>
        </w:rPr>
        <w:t>为核心的创新成果</w:t>
      </w:r>
      <w:r>
        <w:rPr>
          <w:rFonts w:hint="eastAsia"/>
          <w:sz w:val="24"/>
          <w:szCs w:val="24"/>
          <w:highlight w:val="none"/>
        </w:rPr>
        <w:t>，</w:t>
      </w:r>
      <w:r>
        <w:rPr>
          <w:rFonts w:hint="eastAsia"/>
          <w:sz w:val="24"/>
          <w:szCs w:val="24"/>
        </w:rPr>
        <w:t>适时发布转移转化目录。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ascii="宋体" w:hAnsi="宋体" w:cs="宋体"/>
          <w:bCs/>
          <w:sz w:val="24"/>
          <w:szCs w:val="24"/>
        </w:rPr>
        <w:t>中心及成员单位明确知识产权许可转让范围、对象、期限、收费标准、程序等。中心制作成员单位知识产权许可转让协议示范文本。中心及成员单位</w:t>
      </w:r>
      <w:r>
        <w:rPr>
          <w:rFonts w:hint="eastAsia"/>
          <w:sz w:val="24"/>
          <w:szCs w:val="24"/>
        </w:rPr>
        <w:t>涉及国家秘密、国家安全的成果许可转让依规定审批或备案，并根据情况及时做好解密、降密工作。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ascii="宋体" w:hAnsi="宋体" w:cs="宋体"/>
          <w:bCs/>
          <w:sz w:val="24"/>
          <w:szCs w:val="24"/>
        </w:rPr>
        <w:t>中心积极主导国际标准、国家标准、行业标准和团体标准的制订，强化标准的实施与推广。中心及成员单位</w:t>
      </w:r>
      <w:r>
        <w:rPr>
          <w:rFonts w:hint="eastAsia"/>
          <w:sz w:val="24"/>
          <w:szCs w:val="24"/>
        </w:rPr>
        <w:t>制定标准必要专利的公平、合理、无歧视许可政策，积极利用交叉许可、授权转让形成竞争优势。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中心集聚成果、资金、人才、服务、政策等各类资源，推动成员单位面向中小微企业开展知识产权转移转化。充分发挥产业联盟的作用，推广知识产权产品、服务或技术方案。</w:t>
      </w:r>
    </w:p>
    <w:bookmarkEnd w:id="130"/>
    <w:bookmarkEnd w:id="131"/>
    <w:bookmarkEnd w:id="132"/>
    <w:bookmarkEnd w:id="133"/>
    <w:bookmarkEnd w:id="134"/>
    <w:bookmarkEnd w:id="135"/>
    <w:bookmarkEnd w:id="136"/>
    <w:bookmarkEnd w:id="137"/>
    <w:bookmarkEnd w:id="138"/>
    <w:bookmarkEnd w:id="139"/>
    <w:p>
      <w:pPr>
        <w:pStyle w:val="4"/>
        <w:keepNext/>
        <w:keepLines/>
        <w:pageBreakBefore w:val="0"/>
        <w:widowControl w:val="0"/>
        <w:kinsoku/>
        <w:wordWrap/>
        <w:overflowPunct/>
        <w:topLinePunct w:val="0"/>
        <w:autoSpaceDE/>
        <w:autoSpaceDN/>
        <w:bidi w:val="0"/>
        <w:adjustRightInd/>
        <w:snapToGrid/>
        <w:spacing w:before="157" w:beforeLines="50" w:after="157" w:afterLines="50" w:line="320" w:lineRule="exact"/>
        <w:ind w:left="0" w:leftChars="0" w:right="0" w:rightChars="0" w:firstLine="0" w:firstLineChars="0"/>
        <w:jc w:val="both"/>
        <w:textAlignment w:val="auto"/>
        <w:outlineLvl w:val="2"/>
        <w:rPr>
          <w:rFonts w:hint="eastAsia" w:ascii="黑体" w:hAnsi="黑体" w:eastAsia="黑体"/>
          <w:b w:val="0"/>
          <w:bCs/>
          <w:sz w:val="24"/>
          <w:szCs w:val="24"/>
        </w:rPr>
      </w:pPr>
      <w:bookmarkStart w:id="140" w:name="_Toc20307"/>
      <w:bookmarkStart w:id="141" w:name="_Toc24313"/>
      <w:bookmarkStart w:id="142" w:name="_Toc6226"/>
      <w:bookmarkStart w:id="143" w:name="_Toc15914"/>
      <w:bookmarkStart w:id="144" w:name="_Toc9674"/>
      <w:bookmarkStart w:id="145" w:name="_Toc2415"/>
      <w:bookmarkStart w:id="146" w:name="_Toc22592"/>
      <w:bookmarkStart w:id="147" w:name="_Toc30281"/>
      <w:bookmarkStart w:id="148" w:name="_Toc1911"/>
      <w:bookmarkStart w:id="149" w:name="_Toc1174"/>
      <w:bookmarkStart w:id="150" w:name="_Toc13885"/>
      <w:r>
        <w:rPr>
          <w:rFonts w:hint="eastAsia" w:ascii="黑体" w:hAnsi="黑体" w:eastAsia="黑体"/>
          <w:b w:val="0"/>
          <w:bCs/>
          <w:sz w:val="24"/>
          <w:szCs w:val="24"/>
        </w:rPr>
        <w:t>5.4知识产权支撑服务</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中心集成创新和知识产权资源，建立专利技术数据库，面向成员单位和行业发布知识产权服务信息，强化产业知识产权服务支撑。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中心面向成员单位和行业提供创新成果信息查询，开展知识产权信息检索服务，实现中心创新成果和知识产权信息共享。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Times New Roman" w:hAnsi="宋体" w:cs="Times New Roman"/>
          <w:bCs/>
          <w:sz w:val="24"/>
          <w:szCs w:val="24"/>
        </w:rPr>
      </w:pPr>
      <w:r>
        <w:rPr>
          <w:rFonts w:hint="eastAsia" w:ascii="宋体" w:hAnsi="宋体" w:cs="宋体"/>
          <w:bCs/>
          <w:sz w:val="24"/>
          <w:szCs w:val="24"/>
        </w:rPr>
        <w:t>中心依托产业技术联盟，联合专业机构，</w:t>
      </w:r>
      <w:r>
        <w:rPr>
          <w:rFonts w:ascii="Times New Roman" w:hAnsi="宋体" w:cs="Times New Roman"/>
          <w:bCs/>
          <w:sz w:val="24"/>
          <w:szCs w:val="24"/>
        </w:rPr>
        <w:t>监测产业知识产权风险，</w:t>
      </w:r>
      <w:r>
        <w:rPr>
          <w:rFonts w:hint="eastAsia" w:ascii="宋体" w:hAnsi="宋体" w:cs="宋体"/>
          <w:bCs/>
          <w:sz w:val="24"/>
          <w:szCs w:val="24"/>
        </w:rPr>
        <w:t>发布产业知识产权竞争动态和发展态势报告，</w:t>
      </w:r>
      <w:r>
        <w:rPr>
          <w:rFonts w:hint="eastAsia" w:ascii="Times New Roman" w:hAnsi="宋体" w:cs="Times New Roman"/>
          <w:bCs/>
          <w:sz w:val="24"/>
          <w:szCs w:val="24"/>
        </w:rPr>
        <w:t>开展</w:t>
      </w:r>
      <w:r>
        <w:rPr>
          <w:rFonts w:ascii="Times New Roman" w:hAnsi="宋体" w:cs="Times New Roman"/>
          <w:bCs/>
          <w:sz w:val="24"/>
          <w:szCs w:val="24"/>
        </w:rPr>
        <w:t>产业知识产权风险预警</w:t>
      </w:r>
      <w:r>
        <w:rPr>
          <w:rFonts w:hint="eastAsia" w:ascii="Times New Roman" w:hAnsi="宋体" w:cs="Times New Roman"/>
          <w:bCs/>
          <w:sz w:val="24"/>
          <w:szCs w:val="24"/>
        </w:rPr>
        <w:t>和</w:t>
      </w:r>
      <w:r>
        <w:rPr>
          <w:rFonts w:ascii="Times New Roman" w:hAnsi="宋体" w:cs="Times New Roman"/>
          <w:bCs/>
          <w:sz w:val="24"/>
          <w:szCs w:val="24"/>
        </w:rPr>
        <w:t>风险联合应对</w:t>
      </w:r>
      <w:r>
        <w:rPr>
          <w:rFonts w:hint="eastAsia" w:ascii="Times New Roman" w:hAnsi="宋体"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ascii="宋体" w:hAnsi="宋体" w:cs="宋体"/>
          <w:bCs/>
          <w:sz w:val="24"/>
          <w:szCs w:val="24"/>
        </w:rPr>
        <w:t>中心结合国际竞争需要，联合专业机构，编制企业知识产权风险海外应对手册，指导产业联盟、成员单位和行业骨干企业</w:t>
      </w:r>
      <w:r>
        <w:rPr>
          <w:rFonts w:hint="eastAsia"/>
          <w:sz w:val="24"/>
          <w:szCs w:val="24"/>
        </w:rPr>
        <w:t>应对</w:t>
      </w:r>
      <w:r>
        <w:rPr>
          <w:rFonts w:hint="eastAsia" w:ascii="宋体" w:hAnsi="宋体" w:cs="宋体"/>
          <w:bCs/>
          <w:sz w:val="24"/>
          <w:szCs w:val="24"/>
        </w:rPr>
        <w:t>“走出去”的</w:t>
      </w:r>
      <w:r>
        <w:rPr>
          <w:rFonts w:hint="eastAsia"/>
          <w:sz w:val="24"/>
          <w:szCs w:val="24"/>
        </w:rPr>
        <w:t>知识产权海外风险。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中心面向中小微企业开展创业辅导、转移转化咨询和实务培训等知识产权服务。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s="宋体"/>
          <w:bCs/>
          <w:sz w:val="24"/>
          <w:szCs w:val="24"/>
        </w:rPr>
      </w:pPr>
      <w:r>
        <w:rPr>
          <w:rFonts w:hint="eastAsia" w:ascii="宋体" w:hAnsi="宋体" w:cs="宋体"/>
          <w:bCs/>
          <w:sz w:val="24"/>
          <w:szCs w:val="24"/>
        </w:rPr>
        <w:t>中心面向成员单位和行业培养知识产权高端实务人才，形成具有行业特色的复合型知识产权实务人才实训基地。</w:t>
      </w:r>
    </w:p>
    <w:p>
      <w:pPr>
        <w:spacing w:line="320" w:lineRule="exact"/>
        <w:ind w:firstLine="420" w:firstLineChars="200"/>
        <w:rPr>
          <w:rFonts w:ascii="宋体" w:hAnsi="宋体" w:cs="宋体"/>
          <w:bCs/>
          <w:szCs w:val="21"/>
        </w:rPr>
      </w:pPr>
    </w:p>
    <w:bookmarkEnd w:id="141"/>
    <w:bookmarkEnd w:id="142"/>
    <w:bookmarkEnd w:id="143"/>
    <w:bookmarkEnd w:id="144"/>
    <w:bookmarkEnd w:id="145"/>
    <w:bookmarkEnd w:id="146"/>
    <w:bookmarkEnd w:id="147"/>
    <w:bookmarkEnd w:id="148"/>
    <w:bookmarkEnd w:id="149"/>
    <w:bookmarkEnd w:id="150"/>
    <w:p>
      <w:pPr>
        <w:pStyle w:val="3"/>
        <w:spacing w:line="320" w:lineRule="exact"/>
        <w:rPr>
          <w:rFonts w:ascii="黑体" w:hAnsi="黑体"/>
          <w:sz w:val="28"/>
          <w:szCs w:val="28"/>
        </w:rPr>
      </w:pPr>
      <w:bookmarkStart w:id="151" w:name="_Toc31242"/>
      <w:bookmarkStart w:id="152" w:name="_Toc28155"/>
      <w:r>
        <w:rPr>
          <w:rFonts w:hint="eastAsia" w:ascii="黑体" w:hAnsi="黑体"/>
          <w:sz w:val="28"/>
          <w:szCs w:val="28"/>
        </w:rPr>
        <w:t>6评价与改进</w:t>
      </w:r>
      <w:bookmarkEnd w:id="151"/>
      <w:bookmarkEnd w:id="152"/>
    </w:p>
    <w:p>
      <w:pPr>
        <w:spacing w:line="320" w:lineRule="exact"/>
        <w:ind w:firstLine="420" w:firstLineChars="200"/>
        <w:rPr>
          <w:rFonts w:hint="eastAsia" w:ascii="宋体" w:hAnsi="宋体" w:cs="宋体"/>
          <w:bCs/>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s="宋体"/>
          <w:bCs/>
          <w:sz w:val="24"/>
          <w:szCs w:val="24"/>
        </w:rPr>
      </w:pPr>
      <w:r>
        <w:rPr>
          <w:rFonts w:hint="eastAsia" w:ascii="宋体" w:hAnsi="宋体" w:cs="宋体"/>
          <w:bCs/>
          <w:sz w:val="24"/>
          <w:szCs w:val="24"/>
        </w:rPr>
        <w:t>中心及成员单位根据实施情况，适时调整知识产权运用目标，改进、完善知识产权管理体系和运用机制。</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0"/>
    <w:family w:val="roman"/>
    <w:pitch w:val="default"/>
    <w:sig w:usb0="00007A87" w:usb1="80000000" w:usb2="00000008" w:usb3="00000000" w:csb0="400001FF" w:csb1="FFFF0000"/>
  </w:font>
  <w:font w:name="楷体">
    <w:altName w:val="楷体_GB2312"/>
    <w:panose1 w:val="02010609060101010101"/>
    <w:charset w:val="86"/>
    <w:family w:val="decorative"/>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 w:name="Segoe Script">
    <w:altName w:val="Shruti"/>
    <w:panose1 w:val="020B0504020000000003"/>
    <w:charset w:val="00"/>
    <w:family w:val="auto"/>
    <w:pitch w:val="default"/>
    <w:sig w:usb0="00000000" w:usb1="00000000" w:usb2="00000000" w:usb3="00000000" w:csb0="0000009F" w:csb1="00000000"/>
  </w:font>
  <w:font w:name="Rod">
    <w:altName w:val="Shruti"/>
    <w:panose1 w:val="02030509050101010101"/>
    <w:charset w:val="00"/>
    <w:family w:val="auto"/>
    <w:pitch w:val="default"/>
    <w:sig w:usb0="00000000" w:usb1="00000000" w:usb2="00000000" w:usb3="00000000" w:csb0="00000020" w:csb1="00200000"/>
  </w:font>
  <w:font w:name="Comic Sans MS">
    <w:panose1 w:val="030F0702030302020204"/>
    <w:charset w:val="00"/>
    <w:family w:val="auto"/>
    <w:pitch w:val="default"/>
    <w:sig w:usb0="00000287" w:usb1="00000000"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Arial">
    <w:panose1 w:val="020B0604020202020204"/>
    <w:charset w:val="00"/>
    <w:family w:val="modern"/>
    <w:pitch w:val="default"/>
    <w:sig w:usb0="00007A87" w:usb1="80000000" w:usb2="00000008" w:usb3="00000000" w:csb0="400001FF" w:csb1="FFFF0000"/>
  </w:font>
  <w:font w:name="楷体">
    <w:altName w:val="楷体_GB2312"/>
    <w:panose1 w:val="02010609060101010101"/>
    <w:charset w:val="86"/>
    <w:family w:val="roman"/>
    <w:pitch w:val="default"/>
    <w:sig w:usb0="00000000" w:usb1="00000000"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Lucida Sans Unicode">
    <w:panose1 w:val="020B0602030504020204"/>
    <w:charset w:val="00"/>
    <w:family w:val="modern"/>
    <w:pitch w:val="default"/>
    <w:sig w:usb0="80001AFF" w:usb1="0000396B" w:usb2="00000000" w:usb3="00000000" w:csb0="0000003F" w:csb1="D7F7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Arial">
    <w:panose1 w:val="020B0604020202020204"/>
    <w:charset w:val="00"/>
    <w:family w:val="decorative"/>
    <w:pitch w:val="default"/>
    <w:sig w:usb0="00007A87" w:usb1="80000000" w:usb2="00000008" w:usb3="00000000" w:csb0="400001FF" w:csb1="FFFF0000"/>
  </w:font>
  <w:font w:name="楷体">
    <w:altName w:val="楷体_GB2312"/>
    <w:panose1 w:val="02010609060101010101"/>
    <w:charset w:val="86"/>
    <w:family w:val="swiss"/>
    <w:pitch w:val="default"/>
    <w:sig w:usb0="00000000" w:usb1="00000000"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Lucida Sans Unicode">
    <w:panose1 w:val="020B0602030504020204"/>
    <w:charset w:val="00"/>
    <w:family w:val="decorative"/>
    <w:pitch w:val="default"/>
    <w:sig w:usb0="80001AFF" w:usb1="0000396B" w:usb2="00000000" w:usb3="00000000" w:csb0="0000003F" w:csb1="D7F70000"/>
  </w:font>
  <w:font w:name="楷体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wu9W3AQAAWAMAAA4AAABkcnMvZTJvRG9jLnhtbK1TzY7TMBC+I/EO&#10;lu80adGiEjVdIa0WISFYaeEBXMduLPlPM26TvgC8AScu3HmuPgdjN+kiuCEuzoxn/M1830w2t6Oz&#10;7KgATfAtXy5qzpSXoTN+3/LPn+5frDnDJHwnbPCq5SeF/Hb7/NlmiI1ahT7YTgEjEI/NEFvepxSb&#10;qkLZKydwEaLyFNQBnEjkwr7qQAyE7my1qutX1RCgixCkQqTbu0uQbwu+1kqmj1qjSsy2nHpL5YRy&#10;7vJZbTei2YOIvZFTG+IfunDCeCp6hboTSbADmL+gnJEQMOi0kMFVQWsjVeFAbJb1H2weexFV4ULi&#10;YLzKhP8PVn44PgAzHc2OMy8cjej87ev5+8/zjy/sZZZniNhQ1mN8gMlDMjPXUYPLX2LBxiLp6Sqp&#10;GhOTdLlcr9brmpSXFJsdwqmenkfA9FYFx7LRcqCZFSnF8T2mS+qckqv5cG+spXvRWM+Glr++Wd2U&#10;B9cIgVufE1TZgAkmE7m0nq007saJzy50JxJhoC1ouac15cy+8yRyXpjZgNnYzcYhgtn31PGyVMf4&#10;5pCot9JyrnCBJarZofEV0tOq5f343S9ZTz/E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4zC71bcBAABYAwAADgAAAAAAAAABACAAAAAfAQAAZHJzL2Uyb0RvYy54bWxQSwUGAAAAAAYABgBZ&#10;AQAAS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D1784"/>
    <w:rsid w:val="00005C99"/>
    <w:rsid w:val="00031E58"/>
    <w:rsid w:val="000A6541"/>
    <w:rsid w:val="002B5182"/>
    <w:rsid w:val="0032425D"/>
    <w:rsid w:val="0035110A"/>
    <w:rsid w:val="00474B0B"/>
    <w:rsid w:val="00486AD3"/>
    <w:rsid w:val="006A74C5"/>
    <w:rsid w:val="00727DC0"/>
    <w:rsid w:val="0088541D"/>
    <w:rsid w:val="008F1E4D"/>
    <w:rsid w:val="00985645"/>
    <w:rsid w:val="00AC0B18"/>
    <w:rsid w:val="00AF493D"/>
    <w:rsid w:val="00BF3148"/>
    <w:rsid w:val="00DF36A4"/>
    <w:rsid w:val="00DF6108"/>
    <w:rsid w:val="00E26F46"/>
    <w:rsid w:val="00F7262F"/>
    <w:rsid w:val="00F83594"/>
    <w:rsid w:val="013116E0"/>
    <w:rsid w:val="016909FE"/>
    <w:rsid w:val="01852693"/>
    <w:rsid w:val="01D17D37"/>
    <w:rsid w:val="01E71330"/>
    <w:rsid w:val="0224020C"/>
    <w:rsid w:val="023065B1"/>
    <w:rsid w:val="0248030B"/>
    <w:rsid w:val="024A1584"/>
    <w:rsid w:val="029427B0"/>
    <w:rsid w:val="02A01215"/>
    <w:rsid w:val="02FF41F8"/>
    <w:rsid w:val="03233768"/>
    <w:rsid w:val="032A0D52"/>
    <w:rsid w:val="03376F95"/>
    <w:rsid w:val="036A7000"/>
    <w:rsid w:val="03AA653B"/>
    <w:rsid w:val="03C1417F"/>
    <w:rsid w:val="040A10D5"/>
    <w:rsid w:val="04332688"/>
    <w:rsid w:val="045C023C"/>
    <w:rsid w:val="045F1241"/>
    <w:rsid w:val="04A9314B"/>
    <w:rsid w:val="04BB4345"/>
    <w:rsid w:val="04D41A55"/>
    <w:rsid w:val="04F014B6"/>
    <w:rsid w:val="04F916B9"/>
    <w:rsid w:val="05097AD0"/>
    <w:rsid w:val="0511542D"/>
    <w:rsid w:val="059732B6"/>
    <w:rsid w:val="059A7EDA"/>
    <w:rsid w:val="05B408F6"/>
    <w:rsid w:val="05BF6486"/>
    <w:rsid w:val="060C0764"/>
    <w:rsid w:val="06541FA1"/>
    <w:rsid w:val="065B33DC"/>
    <w:rsid w:val="06675ED5"/>
    <w:rsid w:val="067F11DC"/>
    <w:rsid w:val="06840641"/>
    <w:rsid w:val="070B4FF0"/>
    <w:rsid w:val="074B7EF7"/>
    <w:rsid w:val="076568C5"/>
    <w:rsid w:val="07986E55"/>
    <w:rsid w:val="07C76244"/>
    <w:rsid w:val="07DB600A"/>
    <w:rsid w:val="08140E33"/>
    <w:rsid w:val="082075C0"/>
    <w:rsid w:val="08427AB4"/>
    <w:rsid w:val="084C309E"/>
    <w:rsid w:val="08527F7F"/>
    <w:rsid w:val="0859274C"/>
    <w:rsid w:val="089A4FB1"/>
    <w:rsid w:val="089F3BB6"/>
    <w:rsid w:val="08F104D2"/>
    <w:rsid w:val="08FD5E15"/>
    <w:rsid w:val="090845CC"/>
    <w:rsid w:val="091008C1"/>
    <w:rsid w:val="093E7634"/>
    <w:rsid w:val="09733663"/>
    <w:rsid w:val="0986530A"/>
    <w:rsid w:val="098749F9"/>
    <w:rsid w:val="098829BF"/>
    <w:rsid w:val="09967C75"/>
    <w:rsid w:val="09B51366"/>
    <w:rsid w:val="09BD5325"/>
    <w:rsid w:val="09E57CA8"/>
    <w:rsid w:val="0A2214FE"/>
    <w:rsid w:val="0AA04935"/>
    <w:rsid w:val="0AA24F62"/>
    <w:rsid w:val="0AE71B6F"/>
    <w:rsid w:val="0AFF1280"/>
    <w:rsid w:val="0B114D17"/>
    <w:rsid w:val="0B116E62"/>
    <w:rsid w:val="0B19468C"/>
    <w:rsid w:val="0B387DB5"/>
    <w:rsid w:val="0B701A7B"/>
    <w:rsid w:val="0B9711D3"/>
    <w:rsid w:val="0BC1434E"/>
    <w:rsid w:val="0BCC12E3"/>
    <w:rsid w:val="0BF34AF9"/>
    <w:rsid w:val="0BF83EBC"/>
    <w:rsid w:val="0C0D3AA4"/>
    <w:rsid w:val="0C286F5A"/>
    <w:rsid w:val="0C3F2B56"/>
    <w:rsid w:val="0C723E5A"/>
    <w:rsid w:val="0C7863C3"/>
    <w:rsid w:val="0C8A51BF"/>
    <w:rsid w:val="0CDE3867"/>
    <w:rsid w:val="0D257826"/>
    <w:rsid w:val="0D673952"/>
    <w:rsid w:val="0D8F2994"/>
    <w:rsid w:val="0D901D63"/>
    <w:rsid w:val="0DB700F1"/>
    <w:rsid w:val="0DB755CA"/>
    <w:rsid w:val="0DF25507"/>
    <w:rsid w:val="0E0F5EBD"/>
    <w:rsid w:val="0E227DC2"/>
    <w:rsid w:val="0E2436FB"/>
    <w:rsid w:val="0E277157"/>
    <w:rsid w:val="0E413981"/>
    <w:rsid w:val="0E620B59"/>
    <w:rsid w:val="0E8B6AEA"/>
    <w:rsid w:val="0EDE574B"/>
    <w:rsid w:val="0F1550CD"/>
    <w:rsid w:val="0F31328A"/>
    <w:rsid w:val="0F5C3B33"/>
    <w:rsid w:val="0F812434"/>
    <w:rsid w:val="0FD52885"/>
    <w:rsid w:val="10084F30"/>
    <w:rsid w:val="100F3B66"/>
    <w:rsid w:val="101D3F8A"/>
    <w:rsid w:val="102E617D"/>
    <w:rsid w:val="10345EA2"/>
    <w:rsid w:val="104F5BD3"/>
    <w:rsid w:val="107E714C"/>
    <w:rsid w:val="109529A7"/>
    <w:rsid w:val="109B117A"/>
    <w:rsid w:val="109B6362"/>
    <w:rsid w:val="10C7650F"/>
    <w:rsid w:val="11784996"/>
    <w:rsid w:val="119C141E"/>
    <w:rsid w:val="11A744A5"/>
    <w:rsid w:val="11B6796A"/>
    <w:rsid w:val="11C34528"/>
    <w:rsid w:val="11C347A2"/>
    <w:rsid w:val="124A32F5"/>
    <w:rsid w:val="126B68E2"/>
    <w:rsid w:val="129E32C1"/>
    <w:rsid w:val="12AA0463"/>
    <w:rsid w:val="12B02035"/>
    <w:rsid w:val="12D302D6"/>
    <w:rsid w:val="12F82529"/>
    <w:rsid w:val="13283A6A"/>
    <w:rsid w:val="132D5EE6"/>
    <w:rsid w:val="132E6AAC"/>
    <w:rsid w:val="13492B25"/>
    <w:rsid w:val="136B4C20"/>
    <w:rsid w:val="13765FB4"/>
    <w:rsid w:val="13860A23"/>
    <w:rsid w:val="138E576C"/>
    <w:rsid w:val="1391425B"/>
    <w:rsid w:val="143404CD"/>
    <w:rsid w:val="14362934"/>
    <w:rsid w:val="14A3385A"/>
    <w:rsid w:val="14B126D8"/>
    <w:rsid w:val="14BE00A4"/>
    <w:rsid w:val="14FC21DF"/>
    <w:rsid w:val="150B205D"/>
    <w:rsid w:val="15160E61"/>
    <w:rsid w:val="151B5698"/>
    <w:rsid w:val="152D7E0C"/>
    <w:rsid w:val="15694F98"/>
    <w:rsid w:val="15894758"/>
    <w:rsid w:val="163711CA"/>
    <w:rsid w:val="16686C78"/>
    <w:rsid w:val="166F77A5"/>
    <w:rsid w:val="167014C1"/>
    <w:rsid w:val="16743B24"/>
    <w:rsid w:val="16901ACB"/>
    <w:rsid w:val="16A356E5"/>
    <w:rsid w:val="16CB77DE"/>
    <w:rsid w:val="16DA092F"/>
    <w:rsid w:val="16F83FBE"/>
    <w:rsid w:val="16F8742A"/>
    <w:rsid w:val="171F34D5"/>
    <w:rsid w:val="17494DDE"/>
    <w:rsid w:val="17514167"/>
    <w:rsid w:val="1764493F"/>
    <w:rsid w:val="1789216B"/>
    <w:rsid w:val="17F87491"/>
    <w:rsid w:val="180E0988"/>
    <w:rsid w:val="182A4FC2"/>
    <w:rsid w:val="18AD7A90"/>
    <w:rsid w:val="18AE40F4"/>
    <w:rsid w:val="18EE6FB9"/>
    <w:rsid w:val="19246F2B"/>
    <w:rsid w:val="192E3D90"/>
    <w:rsid w:val="195B4173"/>
    <w:rsid w:val="196677F9"/>
    <w:rsid w:val="1977751A"/>
    <w:rsid w:val="19920E1B"/>
    <w:rsid w:val="19AB626D"/>
    <w:rsid w:val="19CE5790"/>
    <w:rsid w:val="1A06385F"/>
    <w:rsid w:val="1A222C1B"/>
    <w:rsid w:val="1A370A8F"/>
    <w:rsid w:val="1A553883"/>
    <w:rsid w:val="1A5B0A1A"/>
    <w:rsid w:val="1B25720B"/>
    <w:rsid w:val="1B894E80"/>
    <w:rsid w:val="1BA3207F"/>
    <w:rsid w:val="1BB6053D"/>
    <w:rsid w:val="1BDB4412"/>
    <w:rsid w:val="1C383C95"/>
    <w:rsid w:val="1C523C06"/>
    <w:rsid w:val="1C6F24E0"/>
    <w:rsid w:val="1C715AB9"/>
    <w:rsid w:val="1C7369C8"/>
    <w:rsid w:val="1C7E1BD6"/>
    <w:rsid w:val="1C8F207C"/>
    <w:rsid w:val="1C96519A"/>
    <w:rsid w:val="1CD14876"/>
    <w:rsid w:val="1CDD4B1F"/>
    <w:rsid w:val="1CE85A95"/>
    <w:rsid w:val="1D0726BE"/>
    <w:rsid w:val="1D17543E"/>
    <w:rsid w:val="1D287D6B"/>
    <w:rsid w:val="1DA735BE"/>
    <w:rsid w:val="1DB02121"/>
    <w:rsid w:val="1DBB6B10"/>
    <w:rsid w:val="1DD27BE7"/>
    <w:rsid w:val="1E6C202A"/>
    <w:rsid w:val="1EA242DF"/>
    <w:rsid w:val="1EA64DC6"/>
    <w:rsid w:val="1ED2397E"/>
    <w:rsid w:val="1F042BF2"/>
    <w:rsid w:val="1F220BDC"/>
    <w:rsid w:val="1F2A201D"/>
    <w:rsid w:val="1F3B40EC"/>
    <w:rsid w:val="1F7D69A1"/>
    <w:rsid w:val="1F977987"/>
    <w:rsid w:val="1FAC7C7D"/>
    <w:rsid w:val="1FED5826"/>
    <w:rsid w:val="1FFC70F3"/>
    <w:rsid w:val="200603BB"/>
    <w:rsid w:val="203A1A21"/>
    <w:rsid w:val="204B3C14"/>
    <w:rsid w:val="208F73D9"/>
    <w:rsid w:val="20D65F9A"/>
    <w:rsid w:val="20E80E92"/>
    <w:rsid w:val="20ED4F9E"/>
    <w:rsid w:val="213A2FBE"/>
    <w:rsid w:val="217E21A8"/>
    <w:rsid w:val="218A66D0"/>
    <w:rsid w:val="218F3927"/>
    <w:rsid w:val="21F27FF0"/>
    <w:rsid w:val="22107FE7"/>
    <w:rsid w:val="221A1EC5"/>
    <w:rsid w:val="227F6529"/>
    <w:rsid w:val="228E387C"/>
    <w:rsid w:val="22B75479"/>
    <w:rsid w:val="22ED1140"/>
    <w:rsid w:val="22F334E7"/>
    <w:rsid w:val="23094394"/>
    <w:rsid w:val="23385CD8"/>
    <w:rsid w:val="235018D2"/>
    <w:rsid w:val="2353286C"/>
    <w:rsid w:val="237F3C29"/>
    <w:rsid w:val="23B9582D"/>
    <w:rsid w:val="23FB256C"/>
    <w:rsid w:val="242E7291"/>
    <w:rsid w:val="2447558F"/>
    <w:rsid w:val="24491EA9"/>
    <w:rsid w:val="24737A77"/>
    <w:rsid w:val="24A23BD1"/>
    <w:rsid w:val="24AB3ACE"/>
    <w:rsid w:val="24BF7A13"/>
    <w:rsid w:val="24C31DEE"/>
    <w:rsid w:val="2541500F"/>
    <w:rsid w:val="25525A7D"/>
    <w:rsid w:val="25700598"/>
    <w:rsid w:val="259A47BB"/>
    <w:rsid w:val="259B295B"/>
    <w:rsid w:val="25A20665"/>
    <w:rsid w:val="25B37995"/>
    <w:rsid w:val="25C816C2"/>
    <w:rsid w:val="25E8485F"/>
    <w:rsid w:val="25F56F08"/>
    <w:rsid w:val="260A3CFE"/>
    <w:rsid w:val="26306484"/>
    <w:rsid w:val="266F3A13"/>
    <w:rsid w:val="26713E60"/>
    <w:rsid w:val="268C7C60"/>
    <w:rsid w:val="26A65466"/>
    <w:rsid w:val="26EF47EC"/>
    <w:rsid w:val="26FA3439"/>
    <w:rsid w:val="273C3B6E"/>
    <w:rsid w:val="2745308E"/>
    <w:rsid w:val="275F64E7"/>
    <w:rsid w:val="27604A12"/>
    <w:rsid w:val="276755D0"/>
    <w:rsid w:val="279B54DD"/>
    <w:rsid w:val="27B92942"/>
    <w:rsid w:val="282A7B9B"/>
    <w:rsid w:val="28625353"/>
    <w:rsid w:val="28710046"/>
    <w:rsid w:val="28974049"/>
    <w:rsid w:val="28AE4BF6"/>
    <w:rsid w:val="28BC7109"/>
    <w:rsid w:val="28C7551D"/>
    <w:rsid w:val="292608C3"/>
    <w:rsid w:val="29485F34"/>
    <w:rsid w:val="297D78B5"/>
    <w:rsid w:val="29920F57"/>
    <w:rsid w:val="29951F7D"/>
    <w:rsid w:val="29AF69A1"/>
    <w:rsid w:val="29B10CEC"/>
    <w:rsid w:val="2A2C0C58"/>
    <w:rsid w:val="2A35275F"/>
    <w:rsid w:val="2A4D796C"/>
    <w:rsid w:val="2A886347"/>
    <w:rsid w:val="2A9E1D50"/>
    <w:rsid w:val="2AE46DF9"/>
    <w:rsid w:val="2AF36CDF"/>
    <w:rsid w:val="2AF87329"/>
    <w:rsid w:val="2B0025D7"/>
    <w:rsid w:val="2B401957"/>
    <w:rsid w:val="2B4B753C"/>
    <w:rsid w:val="2B821380"/>
    <w:rsid w:val="2BC51645"/>
    <w:rsid w:val="2C102167"/>
    <w:rsid w:val="2C173E7A"/>
    <w:rsid w:val="2C290156"/>
    <w:rsid w:val="2C465B01"/>
    <w:rsid w:val="2C850ED3"/>
    <w:rsid w:val="2C8762D0"/>
    <w:rsid w:val="2C936470"/>
    <w:rsid w:val="2CA24D65"/>
    <w:rsid w:val="2CAD1B6A"/>
    <w:rsid w:val="2CD94729"/>
    <w:rsid w:val="2CEF5DD6"/>
    <w:rsid w:val="2D02736A"/>
    <w:rsid w:val="2D44714F"/>
    <w:rsid w:val="2D507E04"/>
    <w:rsid w:val="2D5B72F6"/>
    <w:rsid w:val="2D840844"/>
    <w:rsid w:val="2DF85F59"/>
    <w:rsid w:val="2E073E25"/>
    <w:rsid w:val="2E1A0CD8"/>
    <w:rsid w:val="2E552FAA"/>
    <w:rsid w:val="2E805665"/>
    <w:rsid w:val="2E99051A"/>
    <w:rsid w:val="2EAC27AB"/>
    <w:rsid w:val="2ED644A4"/>
    <w:rsid w:val="2ED64CE7"/>
    <w:rsid w:val="2F8F085F"/>
    <w:rsid w:val="2FD176CD"/>
    <w:rsid w:val="2FE21D9C"/>
    <w:rsid w:val="300F08A4"/>
    <w:rsid w:val="301D7C71"/>
    <w:rsid w:val="302D7631"/>
    <w:rsid w:val="30801B75"/>
    <w:rsid w:val="30A54DE9"/>
    <w:rsid w:val="30B620F1"/>
    <w:rsid w:val="31113266"/>
    <w:rsid w:val="313C4D86"/>
    <w:rsid w:val="314659EE"/>
    <w:rsid w:val="31874F9D"/>
    <w:rsid w:val="318C1600"/>
    <w:rsid w:val="31990B7E"/>
    <w:rsid w:val="31D24926"/>
    <w:rsid w:val="31D67709"/>
    <w:rsid w:val="31E64E0A"/>
    <w:rsid w:val="321F4FA6"/>
    <w:rsid w:val="32724259"/>
    <w:rsid w:val="327B70FF"/>
    <w:rsid w:val="32915076"/>
    <w:rsid w:val="329B6C04"/>
    <w:rsid w:val="32B46C1E"/>
    <w:rsid w:val="32DB6A6D"/>
    <w:rsid w:val="32E6160D"/>
    <w:rsid w:val="32EE1F9A"/>
    <w:rsid w:val="32EF6848"/>
    <w:rsid w:val="32FA6081"/>
    <w:rsid w:val="330D1AEF"/>
    <w:rsid w:val="331D69C2"/>
    <w:rsid w:val="333B4C52"/>
    <w:rsid w:val="334407AA"/>
    <w:rsid w:val="335C02E2"/>
    <w:rsid w:val="33600525"/>
    <w:rsid w:val="336B786D"/>
    <w:rsid w:val="33872BB6"/>
    <w:rsid w:val="33BB2BFD"/>
    <w:rsid w:val="33DA10CE"/>
    <w:rsid w:val="342E0335"/>
    <w:rsid w:val="34314981"/>
    <w:rsid w:val="34522433"/>
    <w:rsid w:val="345D7111"/>
    <w:rsid w:val="345E688B"/>
    <w:rsid w:val="34CF7FAF"/>
    <w:rsid w:val="34F32864"/>
    <w:rsid w:val="352E7C6B"/>
    <w:rsid w:val="3536383E"/>
    <w:rsid w:val="3585750C"/>
    <w:rsid w:val="358A3E41"/>
    <w:rsid w:val="35B614BD"/>
    <w:rsid w:val="35BE2F1B"/>
    <w:rsid w:val="36137470"/>
    <w:rsid w:val="362277C5"/>
    <w:rsid w:val="36314C00"/>
    <w:rsid w:val="363D12F7"/>
    <w:rsid w:val="365F1468"/>
    <w:rsid w:val="36657B65"/>
    <w:rsid w:val="367B0EEA"/>
    <w:rsid w:val="36B37574"/>
    <w:rsid w:val="36D312ED"/>
    <w:rsid w:val="36DE7984"/>
    <w:rsid w:val="37044713"/>
    <w:rsid w:val="370F7182"/>
    <w:rsid w:val="37397635"/>
    <w:rsid w:val="37A427C1"/>
    <w:rsid w:val="37A716F5"/>
    <w:rsid w:val="37C02458"/>
    <w:rsid w:val="380C6AD6"/>
    <w:rsid w:val="38514B9F"/>
    <w:rsid w:val="38526E52"/>
    <w:rsid w:val="3863075B"/>
    <w:rsid w:val="387563F7"/>
    <w:rsid w:val="387F3D8C"/>
    <w:rsid w:val="387F5A60"/>
    <w:rsid w:val="38B6617E"/>
    <w:rsid w:val="38D750B7"/>
    <w:rsid w:val="38D76F76"/>
    <w:rsid w:val="38E36DE3"/>
    <w:rsid w:val="39070557"/>
    <w:rsid w:val="391B3360"/>
    <w:rsid w:val="393C1E19"/>
    <w:rsid w:val="393C4D91"/>
    <w:rsid w:val="395B0BEA"/>
    <w:rsid w:val="396F2619"/>
    <w:rsid w:val="396F36F9"/>
    <w:rsid w:val="397D5BAF"/>
    <w:rsid w:val="39B64701"/>
    <w:rsid w:val="39C930FE"/>
    <w:rsid w:val="39CB2D51"/>
    <w:rsid w:val="3A186C7F"/>
    <w:rsid w:val="3A444896"/>
    <w:rsid w:val="3A951E69"/>
    <w:rsid w:val="3AA45A5B"/>
    <w:rsid w:val="3ACB4B6C"/>
    <w:rsid w:val="3ADF16C3"/>
    <w:rsid w:val="3AE01D9B"/>
    <w:rsid w:val="3AF87FE0"/>
    <w:rsid w:val="3B095648"/>
    <w:rsid w:val="3B387B37"/>
    <w:rsid w:val="3B4C259A"/>
    <w:rsid w:val="3BD90396"/>
    <w:rsid w:val="3BE556D1"/>
    <w:rsid w:val="3C153D05"/>
    <w:rsid w:val="3C1D5359"/>
    <w:rsid w:val="3C2D34EA"/>
    <w:rsid w:val="3C42694C"/>
    <w:rsid w:val="3C550D9E"/>
    <w:rsid w:val="3C702F48"/>
    <w:rsid w:val="3C7E3745"/>
    <w:rsid w:val="3C833FCA"/>
    <w:rsid w:val="3C8B624B"/>
    <w:rsid w:val="3CD42B0D"/>
    <w:rsid w:val="3CD90E7C"/>
    <w:rsid w:val="3D351B7B"/>
    <w:rsid w:val="3D805EC7"/>
    <w:rsid w:val="3D9B0B3B"/>
    <w:rsid w:val="3DA86C83"/>
    <w:rsid w:val="3DBA32F4"/>
    <w:rsid w:val="3DFE49BC"/>
    <w:rsid w:val="3E086CC8"/>
    <w:rsid w:val="3E531C59"/>
    <w:rsid w:val="3E53339A"/>
    <w:rsid w:val="3E551AAA"/>
    <w:rsid w:val="3E9A5D9D"/>
    <w:rsid w:val="3E9F7513"/>
    <w:rsid w:val="3EF26282"/>
    <w:rsid w:val="3F0A5ED5"/>
    <w:rsid w:val="3F2F40C5"/>
    <w:rsid w:val="3F3F391A"/>
    <w:rsid w:val="3F460EF3"/>
    <w:rsid w:val="3F802853"/>
    <w:rsid w:val="3F9C6DFC"/>
    <w:rsid w:val="3F9D3AB3"/>
    <w:rsid w:val="3FCC081D"/>
    <w:rsid w:val="3FFC0743"/>
    <w:rsid w:val="40033B9C"/>
    <w:rsid w:val="400C3A3C"/>
    <w:rsid w:val="403907FB"/>
    <w:rsid w:val="403B2B30"/>
    <w:rsid w:val="40460634"/>
    <w:rsid w:val="405472B5"/>
    <w:rsid w:val="40861FAF"/>
    <w:rsid w:val="40CA459C"/>
    <w:rsid w:val="40D22372"/>
    <w:rsid w:val="40D53BC9"/>
    <w:rsid w:val="40F87FE2"/>
    <w:rsid w:val="41341AA1"/>
    <w:rsid w:val="414E05F2"/>
    <w:rsid w:val="41556508"/>
    <w:rsid w:val="417921AF"/>
    <w:rsid w:val="41856E27"/>
    <w:rsid w:val="41951D83"/>
    <w:rsid w:val="419F7399"/>
    <w:rsid w:val="41B67B7C"/>
    <w:rsid w:val="41E17A77"/>
    <w:rsid w:val="41EB6E8F"/>
    <w:rsid w:val="41F40907"/>
    <w:rsid w:val="41F92176"/>
    <w:rsid w:val="42042759"/>
    <w:rsid w:val="42197145"/>
    <w:rsid w:val="42564A1C"/>
    <w:rsid w:val="427278A1"/>
    <w:rsid w:val="429703A6"/>
    <w:rsid w:val="42D412DE"/>
    <w:rsid w:val="42F42DD5"/>
    <w:rsid w:val="4343614A"/>
    <w:rsid w:val="4371665C"/>
    <w:rsid w:val="43AA122F"/>
    <w:rsid w:val="43CC025F"/>
    <w:rsid w:val="43D26D88"/>
    <w:rsid w:val="43F85889"/>
    <w:rsid w:val="442868BB"/>
    <w:rsid w:val="44CF6EEC"/>
    <w:rsid w:val="452B2B9B"/>
    <w:rsid w:val="45456352"/>
    <w:rsid w:val="456F07ED"/>
    <w:rsid w:val="45B61FFD"/>
    <w:rsid w:val="45B8049E"/>
    <w:rsid w:val="45C545E2"/>
    <w:rsid w:val="45C96920"/>
    <w:rsid w:val="45D17BDD"/>
    <w:rsid w:val="460444D6"/>
    <w:rsid w:val="463D0E08"/>
    <w:rsid w:val="467B4BA9"/>
    <w:rsid w:val="46A90A1D"/>
    <w:rsid w:val="46CC0FB8"/>
    <w:rsid w:val="46FB1572"/>
    <w:rsid w:val="4710786C"/>
    <w:rsid w:val="47163668"/>
    <w:rsid w:val="475E7C8D"/>
    <w:rsid w:val="477C13B4"/>
    <w:rsid w:val="479E6911"/>
    <w:rsid w:val="47F97DCD"/>
    <w:rsid w:val="482750AE"/>
    <w:rsid w:val="48582BB3"/>
    <w:rsid w:val="489B005D"/>
    <w:rsid w:val="48AF53E4"/>
    <w:rsid w:val="48C34855"/>
    <w:rsid w:val="48C62CDC"/>
    <w:rsid w:val="48E61272"/>
    <w:rsid w:val="491A609F"/>
    <w:rsid w:val="49620D42"/>
    <w:rsid w:val="496561BB"/>
    <w:rsid w:val="49D129B9"/>
    <w:rsid w:val="49F57AC1"/>
    <w:rsid w:val="4A072BAB"/>
    <w:rsid w:val="4A091490"/>
    <w:rsid w:val="4A1C717C"/>
    <w:rsid w:val="4A313C2C"/>
    <w:rsid w:val="4AAF769F"/>
    <w:rsid w:val="4ABC3786"/>
    <w:rsid w:val="4B270615"/>
    <w:rsid w:val="4B7569A8"/>
    <w:rsid w:val="4BA77161"/>
    <w:rsid w:val="4BB86E09"/>
    <w:rsid w:val="4BC05893"/>
    <w:rsid w:val="4BC64758"/>
    <w:rsid w:val="4BD320F4"/>
    <w:rsid w:val="4BD855FE"/>
    <w:rsid w:val="4C0D706C"/>
    <w:rsid w:val="4C23290C"/>
    <w:rsid w:val="4C2D676D"/>
    <w:rsid w:val="4C345DC6"/>
    <w:rsid w:val="4C50498B"/>
    <w:rsid w:val="4C8170F1"/>
    <w:rsid w:val="4CEF7779"/>
    <w:rsid w:val="4D12409A"/>
    <w:rsid w:val="4D147233"/>
    <w:rsid w:val="4D560E10"/>
    <w:rsid w:val="4DD462F3"/>
    <w:rsid w:val="4DE560E1"/>
    <w:rsid w:val="4E251296"/>
    <w:rsid w:val="4E3A49BF"/>
    <w:rsid w:val="4E3E15E6"/>
    <w:rsid w:val="4E41115C"/>
    <w:rsid w:val="4E4C6F67"/>
    <w:rsid w:val="4EA9774F"/>
    <w:rsid w:val="4EAA72F7"/>
    <w:rsid w:val="4EAC4BED"/>
    <w:rsid w:val="4F91746B"/>
    <w:rsid w:val="4FF626A6"/>
    <w:rsid w:val="501F7076"/>
    <w:rsid w:val="50220F77"/>
    <w:rsid w:val="502E2F66"/>
    <w:rsid w:val="5053430F"/>
    <w:rsid w:val="50634F90"/>
    <w:rsid w:val="50661B0C"/>
    <w:rsid w:val="506C6580"/>
    <w:rsid w:val="50D96468"/>
    <w:rsid w:val="50E52091"/>
    <w:rsid w:val="50ED172F"/>
    <w:rsid w:val="50FE43F1"/>
    <w:rsid w:val="510240BD"/>
    <w:rsid w:val="511B4707"/>
    <w:rsid w:val="513129A8"/>
    <w:rsid w:val="517276F3"/>
    <w:rsid w:val="51D7449E"/>
    <w:rsid w:val="51DE1156"/>
    <w:rsid w:val="52811525"/>
    <w:rsid w:val="529512DA"/>
    <w:rsid w:val="52AE4BFE"/>
    <w:rsid w:val="52BB34FD"/>
    <w:rsid w:val="52CB4B9A"/>
    <w:rsid w:val="52FF3FDE"/>
    <w:rsid w:val="53362F23"/>
    <w:rsid w:val="534244A5"/>
    <w:rsid w:val="53A356C9"/>
    <w:rsid w:val="53C129E8"/>
    <w:rsid w:val="53EE5FDA"/>
    <w:rsid w:val="53F2280B"/>
    <w:rsid w:val="53FF437B"/>
    <w:rsid w:val="54B469FC"/>
    <w:rsid w:val="54C12E05"/>
    <w:rsid w:val="54FB2A06"/>
    <w:rsid w:val="550337FC"/>
    <w:rsid w:val="550E6A67"/>
    <w:rsid w:val="5527481F"/>
    <w:rsid w:val="55311DDC"/>
    <w:rsid w:val="55B53FD0"/>
    <w:rsid w:val="55F203D3"/>
    <w:rsid w:val="564A20DE"/>
    <w:rsid w:val="56525885"/>
    <w:rsid w:val="56605B4C"/>
    <w:rsid w:val="56621FF0"/>
    <w:rsid w:val="56800B75"/>
    <w:rsid w:val="568F16C2"/>
    <w:rsid w:val="56952A27"/>
    <w:rsid w:val="56CC3B6E"/>
    <w:rsid w:val="56CC6488"/>
    <w:rsid w:val="56FC486D"/>
    <w:rsid w:val="56FD1784"/>
    <w:rsid w:val="57512E2F"/>
    <w:rsid w:val="57DC41F4"/>
    <w:rsid w:val="57E34A55"/>
    <w:rsid w:val="58141455"/>
    <w:rsid w:val="58243C10"/>
    <w:rsid w:val="583F2405"/>
    <w:rsid w:val="58557E85"/>
    <w:rsid w:val="5883413D"/>
    <w:rsid w:val="588A7560"/>
    <w:rsid w:val="58B63F12"/>
    <w:rsid w:val="58C3478F"/>
    <w:rsid w:val="58F62461"/>
    <w:rsid w:val="594416EE"/>
    <w:rsid w:val="597B6740"/>
    <w:rsid w:val="59B71D13"/>
    <w:rsid w:val="59E5147C"/>
    <w:rsid w:val="59E70B0C"/>
    <w:rsid w:val="59F33682"/>
    <w:rsid w:val="59FA5799"/>
    <w:rsid w:val="5A240125"/>
    <w:rsid w:val="5A774912"/>
    <w:rsid w:val="5A935B8F"/>
    <w:rsid w:val="5ADD2481"/>
    <w:rsid w:val="5AE46729"/>
    <w:rsid w:val="5AED2763"/>
    <w:rsid w:val="5B1B6370"/>
    <w:rsid w:val="5B444CA0"/>
    <w:rsid w:val="5B48662D"/>
    <w:rsid w:val="5BD06B99"/>
    <w:rsid w:val="5BF561C3"/>
    <w:rsid w:val="5BFC5AAA"/>
    <w:rsid w:val="5C1F338B"/>
    <w:rsid w:val="5C436A00"/>
    <w:rsid w:val="5C601DFB"/>
    <w:rsid w:val="5C883DB5"/>
    <w:rsid w:val="5C9B65FB"/>
    <w:rsid w:val="5CA43D5C"/>
    <w:rsid w:val="5CA7550A"/>
    <w:rsid w:val="5CAB6832"/>
    <w:rsid w:val="5CAE3DFA"/>
    <w:rsid w:val="5CBE5B3D"/>
    <w:rsid w:val="5CC276DE"/>
    <w:rsid w:val="5CE379E4"/>
    <w:rsid w:val="5CF4523B"/>
    <w:rsid w:val="5D46202B"/>
    <w:rsid w:val="5D4637C6"/>
    <w:rsid w:val="5D535453"/>
    <w:rsid w:val="5DAE390A"/>
    <w:rsid w:val="5DDF59BA"/>
    <w:rsid w:val="5E3D1CCB"/>
    <w:rsid w:val="5E501388"/>
    <w:rsid w:val="5E6A4BB4"/>
    <w:rsid w:val="5E6E492F"/>
    <w:rsid w:val="5E7F3271"/>
    <w:rsid w:val="5E8819C0"/>
    <w:rsid w:val="5EA26551"/>
    <w:rsid w:val="5EB82256"/>
    <w:rsid w:val="5EC12BF8"/>
    <w:rsid w:val="5EEF72A3"/>
    <w:rsid w:val="5F855F3C"/>
    <w:rsid w:val="5FBB17F2"/>
    <w:rsid w:val="5FBB4BB6"/>
    <w:rsid w:val="602C26DA"/>
    <w:rsid w:val="606A4801"/>
    <w:rsid w:val="60742028"/>
    <w:rsid w:val="60B340C3"/>
    <w:rsid w:val="60C918C6"/>
    <w:rsid w:val="613A42B8"/>
    <w:rsid w:val="61503BD9"/>
    <w:rsid w:val="615C0A80"/>
    <w:rsid w:val="61710498"/>
    <w:rsid w:val="623A41D8"/>
    <w:rsid w:val="62542447"/>
    <w:rsid w:val="62606766"/>
    <w:rsid w:val="62A76C88"/>
    <w:rsid w:val="62C253D2"/>
    <w:rsid w:val="62EC7129"/>
    <w:rsid w:val="62ED2B7F"/>
    <w:rsid w:val="630B6CE9"/>
    <w:rsid w:val="63123902"/>
    <w:rsid w:val="632804AA"/>
    <w:rsid w:val="632A396A"/>
    <w:rsid w:val="633F38E7"/>
    <w:rsid w:val="63763D14"/>
    <w:rsid w:val="63A55F43"/>
    <w:rsid w:val="63AC2246"/>
    <w:rsid w:val="63DF503C"/>
    <w:rsid w:val="63F603F6"/>
    <w:rsid w:val="641D2E66"/>
    <w:rsid w:val="64256ACD"/>
    <w:rsid w:val="64C033D0"/>
    <w:rsid w:val="64CF0946"/>
    <w:rsid w:val="64E44D04"/>
    <w:rsid w:val="65040D38"/>
    <w:rsid w:val="650526B7"/>
    <w:rsid w:val="653B15C3"/>
    <w:rsid w:val="65444D67"/>
    <w:rsid w:val="65732C6D"/>
    <w:rsid w:val="657E371C"/>
    <w:rsid w:val="658409C1"/>
    <w:rsid w:val="65D6009F"/>
    <w:rsid w:val="65F24C4F"/>
    <w:rsid w:val="65FE564A"/>
    <w:rsid w:val="66050BDB"/>
    <w:rsid w:val="6645599A"/>
    <w:rsid w:val="66B30211"/>
    <w:rsid w:val="66BF0D64"/>
    <w:rsid w:val="66D40241"/>
    <w:rsid w:val="67253E1E"/>
    <w:rsid w:val="678A66F2"/>
    <w:rsid w:val="678E4F6D"/>
    <w:rsid w:val="67BE3535"/>
    <w:rsid w:val="68037644"/>
    <w:rsid w:val="6815601D"/>
    <w:rsid w:val="68A42692"/>
    <w:rsid w:val="68AA5DEC"/>
    <w:rsid w:val="68BB6192"/>
    <w:rsid w:val="68D425DF"/>
    <w:rsid w:val="692313DD"/>
    <w:rsid w:val="693D064E"/>
    <w:rsid w:val="696800E5"/>
    <w:rsid w:val="6999599E"/>
    <w:rsid w:val="69BD7B3B"/>
    <w:rsid w:val="69D52F25"/>
    <w:rsid w:val="69D90B10"/>
    <w:rsid w:val="6A152E28"/>
    <w:rsid w:val="6A1F3A37"/>
    <w:rsid w:val="6A390937"/>
    <w:rsid w:val="6A3A731D"/>
    <w:rsid w:val="6A76732A"/>
    <w:rsid w:val="6A8E4CDE"/>
    <w:rsid w:val="6A913730"/>
    <w:rsid w:val="6AA00C6C"/>
    <w:rsid w:val="6AC8210F"/>
    <w:rsid w:val="6ACB4328"/>
    <w:rsid w:val="6AE55258"/>
    <w:rsid w:val="6B023F55"/>
    <w:rsid w:val="6B0F7D95"/>
    <w:rsid w:val="6B125139"/>
    <w:rsid w:val="6B171982"/>
    <w:rsid w:val="6B176F7C"/>
    <w:rsid w:val="6B397DD3"/>
    <w:rsid w:val="6B3E10F5"/>
    <w:rsid w:val="6B802759"/>
    <w:rsid w:val="6BAD7DE9"/>
    <w:rsid w:val="6C2A187B"/>
    <w:rsid w:val="6C353B71"/>
    <w:rsid w:val="6C3C71BB"/>
    <w:rsid w:val="6C666467"/>
    <w:rsid w:val="6C712FE5"/>
    <w:rsid w:val="6CAF4760"/>
    <w:rsid w:val="6CFF5486"/>
    <w:rsid w:val="6D097D74"/>
    <w:rsid w:val="6D2B336B"/>
    <w:rsid w:val="6D3416CF"/>
    <w:rsid w:val="6D3B3AC7"/>
    <w:rsid w:val="6D4232A5"/>
    <w:rsid w:val="6D477D85"/>
    <w:rsid w:val="6D580D83"/>
    <w:rsid w:val="6D8E676F"/>
    <w:rsid w:val="6DBE173E"/>
    <w:rsid w:val="6DCA3443"/>
    <w:rsid w:val="6DCE0B44"/>
    <w:rsid w:val="6E132DE1"/>
    <w:rsid w:val="6E3323CF"/>
    <w:rsid w:val="6E4F3215"/>
    <w:rsid w:val="6E6742E5"/>
    <w:rsid w:val="6E7B172B"/>
    <w:rsid w:val="6F0622CC"/>
    <w:rsid w:val="6F441070"/>
    <w:rsid w:val="6F5436DC"/>
    <w:rsid w:val="6F684C23"/>
    <w:rsid w:val="6F7D6A72"/>
    <w:rsid w:val="6F8A7AFC"/>
    <w:rsid w:val="7012596C"/>
    <w:rsid w:val="7018537D"/>
    <w:rsid w:val="701D5A21"/>
    <w:rsid w:val="70292610"/>
    <w:rsid w:val="704D4533"/>
    <w:rsid w:val="70642976"/>
    <w:rsid w:val="70A1505B"/>
    <w:rsid w:val="70A73BAA"/>
    <w:rsid w:val="70CB132C"/>
    <w:rsid w:val="70D91C61"/>
    <w:rsid w:val="71071EA8"/>
    <w:rsid w:val="71125845"/>
    <w:rsid w:val="7116749F"/>
    <w:rsid w:val="712545D0"/>
    <w:rsid w:val="712B0D69"/>
    <w:rsid w:val="71372202"/>
    <w:rsid w:val="71524A33"/>
    <w:rsid w:val="71A32C4F"/>
    <w:rsid w:val="71B959E8"/>
    <w:rsid w:val="71C2217F"/>
    <w:rsid w:val="71FA5645"/>
    <w:rsid w:val="722859E6"/>
    <w:rsid w:val="72690ECE"/>
    <w:rsid w:val="72856E2B"/>
    <w:rsid w:val="72A64D84"/>
    <w:rsid w:val="72C413D9"/>
    <w:rsid w:val="73193522"/>
    <w:rsid w:val="7333658D"/>
    <w:rsid w:val="73354925"/>
    <w:rsid w:val="737266F7"/>
    <w:rsid w:val="73E14DC2"/>
    <w:rsid w:val="74163B9D"/>
    <w:rsid w:val="741977A5"/>
    <w:rsid w:val="742C0E19"/>
    <w:rsid w:val="746A549A"/>
    <w:rsid w:val="74A66373"/>
    <w:rsid w:val="74C255FD"/>
    <w:rsid w:val="74D47C66"/>
    <w:rsid w:val="75195543"/>
    <w:rsid w:val="75697EDA"/>
    <w:rsid w:val="75D02060"/>
    <w:rsid w:val="75DD2C54"/>
    <w:rsid w:val="760546BB"/>
    <w:rsid w:val="76074A17"/>
    <w:rsid w:val="76996D51"/>
    <w:rsid w:val="76BF3F20"/>
    <w:rsid w:val="76D413BB"/>
    <w:rsid w:val="77280E78"/>
    <w:rsid w:val="77663A67"/>
    <w:rsid w:val="77831CA0"/>
    <w:rsid w:val="77F073CD"/>
    <w:rsid w:val="7837258E"/>
    <w:rsid w:val="78584CDA"/>
    <w:rsid w:val="7890175A"/>
    <w:rsid w:val="78EB7847"/>
    <w:rsid w:val="79422AAF"/>
    <w:rsid w:val="796C3EE7"/>
    <w:rsid w:val="797053D2"/>
    <w:rsid w:val="79973DF6"/>
    <w:rsid w:val="79B3745B"/>
    <w:rsid w:val="79F27CFD"/>
    <w:rsid w:val="7A02755C"/>
    <w:rsid w:val="7A083FBF"/>
    <w:rsid w:val="7A2773B3"/>
    <w:rsid w:val="7A3B0573"/>
    <w:rsid w:val="7A4F2C37"/>
    <w:rsid w:val="7A6A7CB7"/>
    <w:rsid w:val="7AD939AD"/>
    <w:rsid w:val="7AEC158E"/>
    <w:rsid w:val="7B3F5B59"/>
    <w:rsid w:val="7BAD58C5"/>
    <w:rsid w:val="7BD73A97"/>
    <w:rsid w:val="7C2C1F9C"/>
    <w:rsid w:val="7C2E5A0E"/>
    <w:rsid w:val="7C93555A"/>
    <w:rsid w:val="7CE864D7"/>
    <w:rsid w:val="7CEB5978"/>
    <w:rsid w:val="7CED62BF"/>
    <w:rsid w:val="7CF261B5"/>
    <w:rsid w:val="7D2164BA"/>
    <w:rsid w:val="7D777A82"/>
    <w:rsid w:val="7D7D15ED"/>
    <w:rsid w:val="7D94665F"/>
    <w:rsid w:val="7DA2133A"/>
    <w:rsid w:val="7DBC441E"/>
    <w:rsid w:val="7DEC355C"/>
    <w:rsid w:val="7DF23391"/>
    <w:rsid w:val="7E4D10B5"/>
    <w:rsid w:val="7E891319"/>
    <w:rsid w:val="7E8C50F5"/>
    <w:rsid w:val="7EC8613C"/>
    <w:rsid w:val="7F0A138B"/>
    <w:rsid w:val="7F155B6B"/>
    <w:rsid w:val="7F26063D"/>
    <w:rsid w:val="7F484AFD"/>
    <w:rsid w:val="7F5B577A"/>
    <w:rsid w:val="7F872C7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kern w:val="0"/>
      <w:sz w:val="32"/>
    </w:rPr>
  </w:style>
  <w:style w:type="paragraph" w:styleId="4">
    <w:name w:val="heading 3"/>
    <w:basedOn w:val="1"/>
    <w:next w:val="1"/>
    <w:unhideWhenUsed/>
    <w:qFormat/>
    <w:uiPriority w:val="0"/>
    <w:pPr>
      <w:keepNext/>
      <w:keepLines/>
      <w:spacing w:before="260" w:after="260" w:line="416" w:lineRule="auto"/>
      <w:outlineLvl w:val="2"/>
    </w:pPr>
    <w:rPr>
      <w:b/>
      <w:bCs/>
      <w:kern w:val="0"/>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6"/>
    <w:qFormat/>
    <w:uiPriority w:val="0"/>
    <w:rPr>
      <w:b/>
      <w:bCs/>
    </w:rPr>
  </w:style>
  <w:style w:type="paragraph" w:styleId="7">
    <w:name w:val="annotation text"/>
    <w:basedOn w:val="1"/>
    <w:link w:val="25"/>
    <w:qFormat/>
    <w:uiPriority w:val="0"/>
    <w:pPr>
      <w:jc w:val="left"/>
    </w:pPr>
  </w:style>
  <w:style w:type="paragraph" w:styleId="8">
    <w:name w:val="toc 7"/>
    <w:basedOn w:val="1"/>
    <w:next w:val="1"/>
    <w:qFormat/>
    <w:uiPriority w:val="0"/>
    <w:pPr>
      <w:ind w:left="2520" w:leftChars="1200"/>
    </w:pPr>
  </w:style>
  <w:style w:type="paragraph" w:styleId="9">
    <w:name w:val="Document Map"/>
    <w:basedOn w:val="1"/>
    <w:link w:val="24"/>
    <w:qFormat/>
    <w:uiPriority w:val="0"/>
    <w:rPr>
      <w:rFonts w:ascii="宋体"/>
      <w:sz w:val="18"/>
      <w:szCs w:val="18"/>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toc 8"/>
    <w:basedOn w:val="1"/>
    <w:next w:val="1"/>
    <w:qFormat/>
    <w:uiPriority w:val="0"/>
    <w:pPr>
      <w:ind w:left="2940" w:leftChars="1400"/>
    </w:pPr>
  </w:style>
  <w:style w:type="paragraph" w:styleId="13">
    <w:name w:val="Balloon Text"/>
    <w:basedOn w:val="1"/>
    <w:link w:val="2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4"/>
    <w:basedOn w:val="1"/>
    <w:next w:val="1"/>
    <w:qFormat/>
    <w:uiPriority w:val="0"/>
    <w:pPr>
      <w:ind w:left="1260" w:leftChars="600"/>
    </w:pPr>
  </w:style>
  <w:style w:type="paragraph" w:styleId="18">
    <w:name w:val="toc 6"/>
    <w:basedOn w:val="1"/>
    <w:next w:val="1"/>
    <w:qFormat/>
    <w:uiPriority w:val="0"/>
    <w:pPr>
      <w:ind w:left="2100" w:leftChars="1000"/>
    </w:pPr>
  </w:style>
  <w:style w:type="paragraph" w:styleId="19">
    <w:name w:val="toc 2"/>
    <w:basedOn w:val="1"/>
    <w:next w:val="1"/>
    <w:qFormat/>
    <w:uiPriority w:val="0"/>
    <w:pPr>
      <w:ind w:left="420" w:leftChars="200"/>
    </w:pPr>
  </w:style>
  <w:style w:type="paragraph" w:styleId="20">
    <w:name w:val="toc 9"/>
    <w:basedOn w:val="1"/>
    <w:next w:val="1"/>
    <w:qFormat/>
    <w:uiPriority w:val="0"/>
    <w:pPr>
      <w:ind w:left="3360" w:leftChars="1600"/>
    </w:pPr>
  </w:style>
  <w:style w:type="character" w:styleId="22">
    <w:name w:val="annotation reference"/>
    <w:basedOn w:val="21"/>
    <w:qFormat/>
    <w:uiPriority w:val="0"/>
    <w:rPr>
      <w:sz w:val="21"/>
      <w:szCs w:val="21"/>
    </w:rPr>
  </w:style>
  <w:style w:type="character" w:customStyle="1" w:styleId="24">
    <w:name w:val="文档结构图 Char"/>
    <w:basedOn w:val="21"/>
    <w:link w:val="9"/>
    <w:qFormat/>
    <w:uiPriority w:val="0"/>
    <w:rPr>
      <w:rFonts w:ascii="宋体" w:hAnsi="Calibri" w:cs="黑体"/>
      <w:kern w:val="2"/>
      <w:sz w:val="18"/>
      <w:szCs w:val="18"/>
    </w:rPr>
  </w:style>
  <w:style w:type="character" w:customStyle="1" w:styleId="25">
    <w:name w:val="批注文字 Char"/>
    <w:basedOn w:val="21"/>
    <w:link w:val="7"/>
    <w:qFormat/>
    <w:uiPriority w:val="0"/>
    <w:rPr>
      <w:rFonts w:ascii="Calibri" w:hAnsi="Calibri" w:cs="黑体"/>
      <w:kern w:val="2"/>
      <w:sz w:val="21"/>
      <w:szCs w:val="24"/>
    </w:rPr>
  </w:style>
  <w:style w:type="character" w:customStyle="1" w:styleId="26">
    <w:name w:val="批注主题 Char"/>
    <w:basedOn w:val="25"/>
    <w:link w:val="6"/>
    <w:uiPriority w:val="0"/>
    <w:rPr>
      <w:b/>
      <w:bCs/>
    </w:rPr>
  </w:style>
  <w:style w:type="character" w:customStyle="1" w:styleId="27">
    <w:name w:val="批注框文本 Char"/>
    <w:basedOn w:val="21"/>
    <w:link w:val="1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CIMTEC</Company>
  <Pages>7</Pages>
  <Words>810</Words>
  <Characters>4618</Characters>
  <Lines>38</Lines>
  <Paragraphs>10</Paragraphs>
  <ScaleCrop>false</ScaleCrop>
  <LinksUpToDate>false</LinksUpToDate>
  <CharactersWithSpaces>5418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2016-04-08T07:08:00Z</dcterms:created>
  <dc:creator>Administrator</dc:creator>
  <cp:lastModifiedBy>常利民(拟稿)</cp:lastModifiedBy>
  <cp:lastPrinted>2016-10-19T08:10:00Z</cp:lastPrinted>
  <dcterms:modified xsi:type="dcterms:W3CDTF">2016-10-20T02:45:56Z</dcterms:modified>
  <dc:title>制造业创新中心知识产权运用指南</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